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2A3D06">
      <w:pPr>
        <w:keepNext w:val="0"/>
        <w:keepLines w:val="0"/>
        <w:pageBreakBefore w:val="0"/>
        <w:widowControl w:val="0"/>
        <w:kinsoku/>
        <w:wordWrap/>
        <w:overflowPunct/>
        <w:topLinePunct w:val="0"/>
        <w:autoSpaceDE w:val="0"/>
        <w:autoSpaceDN w:val="0"/>
        <w:bidi w:val="0"/>
        <w:adjustRightInd w:val="0"/>
        <w:snapToGrid/>
        <w:spacing w:line="600" w:lineRule="exact"/>
        <w:jc w:val="center"/>
        <w:textAlignment w:val="auto"/>
        <w:rPr>
          <w:rFonts w:hint="eastAsia" w:ascii="方正小标宋简体" w:hAnsi="方正小标宋简体" w:eastAsia="方正小标宋简体" w:cs="方正小标宋简体"/>
          <w:color w:val="000000"/>
          <w:kern w:val="0"/>
          <w:sz w:val="44"/>
          <w:szCs w:val="44"/>
          <w:lang w:eastAsia="zh-CN"/>
        </w:rPr>
      </w:pPr>
      <w:r>
        <w:rPr>
          <w:rFonts w:hint="eastAsia" w:ascii="方正小标宋简体" w:hAnsi="方正小标宋简体" w:eastAsia="方正小标宋简体" w:cs="方正小标宋简体"/>
          <w:color w:val="000000"/>
          <w:kern w:val="0"/>
          <w:sz w:val="44"/>
          <w:szCs w:val="44"/>
          <w:lang w:val="en-US" w:eastAsia="zh-CN"/>
        </w:rPr>
        <w:t>樟斗镇</w:t>
      </w:r>
      <w:bookmarkStart w:id="0" w:name="_GoBack"/>
      <w:bookmarkEnd w:id="0"/>
      <w:r>
        <w:rPr>
          <w:rFonts w:hint="eastAsia" w:ascii="方正小标宋简体" w:hAnsi="方正小标宋简体" w:eastAsia="方正小标宋简体" w:cs="方正小标宋简体"/>
          <w:color w:val="000000"/>
          <w:kern w:val="0"/>
          <w:sz w:val="44"/>
          <w:szCs w:val="44"/>
          <w:lang w:eastAsia="zh-CN"/>
        </w:rPr>
        <w:t>涉企</w:t>
      </w:r>
      <w:r>
        <w:rPr>
          <w:rFonts w:hint="eastAsia" w:ascii="方正小标宋简体" w:hAnsi="方正小标宋简体" w:eastAsia="方正小标宋简体" w:cs="方正小标宋简体"/>
          <w:color w:val="000000"/>
          <w:kern w:val="0"/>
          <w:sz w:val="44"/>
          <w:szCs w:val="44"/>
        </w:rPr>
        <w:t>行政</w:t>
      </w:r>
      <w:r>
        <w:rPr>
          <w:rFonts w:hint="eastAsia" w:ascii="方正小标宋简体" w:hAnsi="方正小标宋简体" w:eastAsia="方正小标宋简体" w:cs="方正小标宋简体"/>
          <w:color w:val="000000"/>
          <w:kern w:val="0"/>
          <w:sz w:val="44"/>
          <w:szCs w:val="44"/>
          <w:lang w:eastAsia="zh-CN"/>
        </w:rPr>
        <w:t>检查</w:t>
      </w:r>
      <w:r>
        <w:rPr>
          <w:rFonts w:hint="eastAsia" w:ascii="方正小标宋简体" w:hAnsi="方正小标宋简体" w:eastAsia="方正小标宋简体" w:cs="方正小标宋简体"/>
          <w:color w:val="000000"/>
          <w:kern w:val="0"/>
          <w:sz w:val="44"/>
          <w:szCs w:val="44"/>
        </w:rPr>
        <w:t>事项</w:t>
      </w:r>
      <w:r>
        <w:rPr>
          <w:rFonts w:hint="eastAsia" w:ascii="方正小标宋简体" w:hAnsi="方正小标宋简体" w:eastAsia="方正小标宋简体" w:cs="方正小标宋简体"/>
          <w:color w:val="000000"/>
          <w:kern w:val="0"/>
          <w:sz w:val="44"/>
          <w:szCs w:val="44"/>
          <w:lang w:eastAsia="zh-CN"/>
        </w:rPr>
        <w:t>目录</w:t>
      </w:r>
    </w:p>
    <w:p w14:paraId="57ED25BF">
      <w:pPr>
        <w:tabs>
          <w:tab w:val="left" w:pos="1312"/>
        </w:tabs>
        <w:bidi w:val="0"/>
        <w:jc w:val="both"/>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color w:val="000000"/>
          <w:kern w:val="0"/>
          <w:sz w:val="32"/>
          <w:szCs w:val="32"/>
          <w:lang w:val="en-US" w:eastAsia="zh-CN"/>
        </w:rPr>
        <w:t>执法主体（盖章）：大余县樟斗镇人民政府</w:t>
      </w:r>
    </w:p>
    <w:tbl>
      <w:tblPr>
        <w:tblStyle w:val="2"/>
        <w:tblW w:w="102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1414"/>
        <w:gridCol w:w="1511"/>
        <w:gridCol w:w="1266"/>
        <w:gridCol w:w="5385"/>
      </w:tblGrid>
      <w:tr w14:paraId="35F0B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52" w:hRule="atLeast"/>
          <w:jc w:val="center"/>
        </w:trPr>
        <w:tc>
          <w:tcPr>
            <w:tcW w:w="695" w:type="dxa"/>
            <w:noWrap w:val="0"/>
            <w:vAlign w:val="center"/>
          </w:tcPr>
          <w:p w14:paraId="12F21D67">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序号</w:t>
            </w:r>
          </w:p>
        </w:tc>
        <w:tc>
          <w:tcPr>
            <w:tcW w:w="1414" w:type="dxa"/>
            <w:noWrap w:val="0"/>
            <w:vAlign w:val="center"/>
          </w:tcPr>
          <w:p w14:paraId="542FF4B9">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rFonts w:hint="eastAsia" w:ascii="仿宋_GB2312" w:hAnsi="仿宋_GB2312" w:eastAsia="仿宋_GB2312" w:cs="仿宋_GB2312"/>
                <w:b/>
                <w:bCs/>
                <w:color w:val="000000"/>
                <w:kern w:val="0"/>
                <w:sz w:val="28"/>
                <w:szCs w:val="28"/>
                <w:lang w:eastAsia="zh-CN"/>
              </w:rPr>
            </w:pPr>
            <w:r>
              <w:rPr>
                <w:rFonts w:hint="eastAsia" w:ascii="仿宋_GB2312" w:hAnsi="仿宋_GB2312" w:eastAsia="仿宋_GB2312" w:cs="仿宋_GB2312"/>
                <w:b/>
                <w:bCs/>
                <w:color w:val="000000"/>
                <w:kern w:val="0"/>
                <w:sz w:val="28"/>
                <w:szCs w:val="28"/>
                <w:lang w:eastAsia="zh-CN"/>
              </w:rPr>
              <w:t>实施主体</w:t>
            </w:r>
          </w:p>
        </w:tc>
        <w:tc>
          <w:tcPr>
            <w:tcW w:w="1511" w:type="dxa"/>
            <w:noWrap w:val="0"/>
            <w:vAlign w:val="center"/>
          </w:tcPr>
          <w:p w14:paraId="6D8F7D8B">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rFonts w:hint="eastAsia" w:ascii="仿宋_GB2312" w:hAnsi="仿宋_GB2312" w:eastAsia="仿宋_GB2312" w:cs="仿宋_GB2312"/>
                <w:b/>
                <w:bCs/>
                <w:color w:val="000000"/>
                <w:kern w:val="0"/>
                <w:sz w:val="28"/>
                <w:szCs w:val="28"/>
                <w:lang w:eastAsia="zh-CN"/>
              </w:rPr>
            </w:pPr>
            <w:r>
              <w:rPr>
                <w:rFonts w:hint="eastAsia" w:ascii="仿宋_GB2312" w:hAnsi="仿宋_GB2312" w:eastAsia="仿宋_GB2312" w:cs="仿宋_GB2312"/>
                <w:b/>
                <w:bCs/>
                <w:color w:val="000000"/>
                <w:kern w:val="0"/>
                <w:sz w:val="28"/>
                <w:szCs w:val="28"/>
                <w:lang w:eastAsia="zh-CN"/>
              </w:rPr>
              <w:t>事项</w:t>
            </w:r>
            <w:r>
              <w:rPr>
                <w:rFonts w:hint="eastAsia" w:ascii="仿宋_GB2312" w:hAnsi="仿宋_GB2312" w:eastAsia="仿宋_GB2312" w:cs="仿宋_GB2312"/>
                <w:b/>
                <w:bCs/>
                <w:color w:val="000000"/>
                <w:kern w:val="0"/>
                <w:sz w:val="28"/>
                <w:szCs w:val="28"/>
              </w:rPr>
              <w:t>名称</w:t>
            </w:r>
          </w:p>
        </w:tc>
        <w:tc>
          <w:tcPr>
            <w:tcW w:w="1266" w:type="dxa"/>
            <w:noWrap w:val="0"/>
            <w:vAlign w:val="center"/>
          </w:tcPr>
          <w:p w14:paraId="2CE73072">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rFonts w:hint="eastAsia" w:ascii="仿宋_GB2312" w:hAnsi="仿宋_GB2312" w:eastAsia="仿宋_GB2312" w:cs="仿宋_GB2312"/>
                <w:b/>
                <w:bCs/>
                <w:color w:val="000000"/>
                <w:spacing w:val="-20"/>
                <w:kern w:val="0"/>
                <w:sz w:val="28"/>
                <w:szCs w:val="28"/>
              </w:rPr>
            </w:pPr>
            <w:r>
              <w:rPr>
                <w:rFonts w:hint="eastAsia" w:ascii="仿宋_GB2312" w:hAnsi="仿宋_GB2312" w:eastAsia="仿宋_GB2312" w:cs="仿宋_GB2312"/>
                <w:b/>
                <w:bCs/>
                <w:color w:val="000000"/>
                <w:spacing w:val="-20"/>
                <w:kern w:val="0"/>
                <w:sz w:val="28"/>
                <w:szCs w:val="28"/>
              </w:rPr>
              <w:t>执法类别</w:t>
            </w:r>
          </w:p>
        </w:tc>
        <w:tc>
          <w:tcPr>
            <w:tcW w:w="5385" w:type="dxa"/>
            <w:noWrap w:val="0"/>
            <w:vAlign w:val="center"/>
          </w:tcPr>
          <w:p w14:paraId="3DC22C5C">
            <w:pPr>
              <w:keepNext w:val="0"/>
              <w:keepLines w:val="0"/>
              <w:pageBreakBefore w:val="0"/>
              <w:widowControl w:val="0"/>
              <w:kinsoku/>
              <w:wordWrap/>
              <w:overflowPunct/>
              <w:topLinePunct w:val="0"/>
              <w:autoSpaceDE w:val="0"/>
              <w:autoSpaceDN w:val="0"/>
              <w:bidi w:val="0"/>
              <w:adjustRightInd w:val="0"/>
              <w:snapToGrid/>
              <w:spacing w:line="500" w:lineRule="exact"/>
              <w:jc w:val="center"/>
              <w:textAlignment w:val="auto"/>
              <w:rPr>
                <w:rFonts w:hint="eastAsia" w:ascii="仿宋_GB2312" w:hAnsi="仿宋_GB2312" w:eastAsia="仿宋_GB2312" w:cs="仿宋_GB2312"/>
                <w:b/>
                <w:bCs/>
                <w:color w:val="000000"/>
                <w:kern w:val="0"/>
                <w:sz w:val="28"/>
                <w:szCs w:val="28"/>
              </w:rPr>
            </w:pPr>
            <w:r>
              <w:rPr>
                <w:rFonts w:hint="eastAsia" w:ascii="仿宋_GB2312" w:hAnsi="仿宋_GB2312" w:eastAsia="仿宋_GB2312" w:cs="仿宋_GB2312"/>
                <w:b/>
                <w:bCs/>
                <w:color w:val="000000"/>
                <w:kern w:val="0"/>
                <w:sz w:val="28"/>
                <w:szCs w:val="28"/>
              </w:rPr>
              <w:t>执法依据</w:t>
            </w:r>
          </w:p>
        </w:tc>
      </w:tr>
      <w:tr w14:paraId="5D08F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jc w:val="center"/>
        </w:trPr>
        <w:tc>
          <w:tcPr>
            <w:tcW w:w="695" w:type="dxa"/>
            <w:noWrap w:val="0"/>
            <w:vAlign w:val="center"/>
          </w:tcPr>
          <w:p w14:paraId="007847C9">
            <w:pPr>
              <w:autoSpaceDE w:val="0"/>
              <w:autoSpaceDN w:val="0"/>
              <w:adjustRightInd w:val="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1</w:t>
            </w:r>
          </w:p>
        </w:tc>
        <w:tc>
          <w:tcPr>
            <w:tcW w:w="1414" w:type="dxa"/>
            <w:noWrap w:val="0"/>
            <w:vAlign w:val="center"/>
          </w:tcPr>
          <w:p w14:paraId="712EB19F">
            <w:pPr>
              <w:autoSpaceDE w:val="0"/>
              <w:autoSpaceDN w:val="0"/>
              <w:adjustRightInd w:val="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樟斗镇人民政府</w:t>
            </w:r>
          </w:p>
        </w:tc>
        <w:tc>
          <w:tcPr>
            <w:tcW w:w="1511" w:type="dxa"/>
            <w:noWrap w:val="0"/>
            <w:vAlign w:val="center"/>
          </w:tcPr>
          <w:p w14:paraId="380303EE">
            <w:pPr>
              <w:autoSpaceDE w:val="0"/>
              <w:autoSpaceDN w:val="0"/>
              <w:adjustRightInd w:val="0"/>
              <w:jc w:val="both"/>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对生产经营单位执行有关安全生产的法律、法规和国家标准或行业标准的情况进行监督检查</w:t>
            </w:r>
          </w:p>
        </w:tc>
        <w:tc>
          <w:tcPr>
            <w:tcW w:w="1266" w:type="dxa"/>
            <w:noWrap w:val="0"/>
            <w:vAlign w:val="center"/>
          </w:tcPr>
          <w:p w14:paraId="7EDCD237">
            <w:pPr>
              <w:autoSpaceDE w:val="0"/>
              <w:autoSpaceDN w:val="0"/>
              <w:adjustRightInd w:val="0"/>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行政检查</w:t>
            </w:r>
          </w:p>
        </w:tc>
        <w:tc>
          <w:tcPr>
            <w:tcW w:w="5385" w:type="dxa"/>
            <w:noWrap w:val="0"/>
            <w:vAlign w:val="center"/>
          </w:tcPr>
          <w:p w14:paraId="5CA4B90B">
            <w:pPr>
              <w:numPr>
                <w:ilvl w:val="0"/>
                <w:numId w:val="1"/>
              </w:numPr>
              <w:autoSpaceDE w:val="0"/>
              <w:autoSpaceDN w:val="0"/>
              <w:adjustRightInd w:val="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 《中华人民共和国安全生产法》第九条第二款</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2.《安全生产事故隐患排查治理暂行规定)(原国家安全生产监督管理总局令第16号)第五条。3.《江西省安全生产条例》第九条第一款。4.《江西省实施&lt;中华人民共和国矿山安全法&gt;办法》第二十五条。5.《江西省烟花爆竹安全管理办法》第三条第二款:乡（镇）人民政府、街道办事处全面负责本地区烟花爆竹的安全监督管理工作。6.《江西省重大生产安全事故隐患排查治理办法》第五条第二款</w:t>
            </w:r>
            <w:r>
              <w:rPr>
                <w:rFonts w:hint="eastAsia" w:ascii="仿宋_GB2312" w:hAnsi="仿宋_GB2312" w:eastAsia="仿宋_GB2312" w:cs="仿宋_GB2312"/>
                <w:color w:val="000000"/>
                <w:kern w:val="0"/>
                <w:sz w:val="24"/>
                <w:szCs w:val="24"/>
                <w:lang w:eastAsia="zh-CN"/>
              </w:rPr>
              <w:t>、第二十五条第一款、第二十七条第一款</w:t>
            </w:r>
            <w:r>
              <w:rPr>
                <w:rFonts w:hint="eastAsia" w:ascii="仿宋_GB2312" w:hAnsi="仿宋_GB2312" w:eastAsia="仿宋_GB2312" w:cs="仿宋_GB2312"/>
                <w:color w:val="000000"/>
                <w:kern w:val="0"/>
                <w:sz w:val="24"/>
                <w:szCs w:val="24"/>
              </w:rPr>
              <w:t>。</w:t>
            </w:r>
          </w:p>
        </w:tc>
      </w:tr>
      <w:tr w14:paraId="3AC14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695" w:type="dxa"/>
            <w:noWrap w:val="0"/>
            <w:vAlign w:val="center"/>
          </w:tcPr>
          <w:p w14:paraId="4CA38F91">
            <w:pPr>
              <w:autoSpaceDE w:val="0"/>
              <w:autoSpaceDN w:val="0"/>
              <w:adjustRightInd w:val="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2</w:t>
            </w:r>
          </w:p>
        </w:tc>
        <w:tc>
          <w:tcPr>
            <w:tcW w:w="1414" w:type="dxa"/>
            <w:noWrap w:val="0"/>
            <w:vAlign w:val="center"/>
          </w:tcPr>
          <w:p w14:paraId="270A6990">
            <w:pPr>
              <w:autoSpaceDE w:val="0"/>
              <w:autoSpaceDN w:val="0"/>
              <w:adjustRightInd w:val="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lang w:val="en-US" w:eastAsia="zh-CN"/>
              </w:rPr>
              <w:t>樟斗镇人民政府</w:t>
            </w:r>
          </w:p>
        </w:tc>
        <w:tc>
          <w:tcPr>
            <w:tcW w:w="1511" w:type="dxa"/>
            <w:noWrap w:val="0"/>
            <w:vAlign w:val="center"/>
          </w:tcPr>
          <w:p w14:paraId="4E52BA0D">
            <w:pPr>
              <w:tabs>
                <w:tab w:val="left" w:pos="665"/>
              </w:tabs>
              <w:autoSpaceDE w:val="0"/>
              <w:autoSpaceDN w:val="0"/>
              <w:adjustRightInd w:val="0"/>
              <w:jc w:val="left"/>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对防汛抗旱工作的检查</w:t>
            </w:r>
          </w:p>
        </w:tc>
        <w:tc>
          <w:tcPr>
            <w:tcW w:w="1266" w:type="dxa"/>
            <w:noWrap w:val="0"/>
            <w:vAlign w:val="center"/>
          </w:tcPr>
          <w:p w14:paraId="3F1F41D9">
            <w:pPr>
              <w:autoSpaceDE w:val="0"/>
              <w:autoSpaceDN w:val="0"/>
              <w:adjustRightInd w:val="0"/>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行政检查</w:t>
            </w:r>
          </w:p>
        </w:tc>
        <w:tc>
          <w:tcPr>
            <w:tcW w:w="5385" w:type="dxa"/>
            <w:noWrap w:val="0"/>
            <w:vAlign w:val="center"/>
          </w:tcPr>
          <w:p w14:paraId="18972020">
            <w:pPr>
              <w:autoSpaceDE w:val="0"/>
              <w:autoSpaceDN w:val="0"/>
              <w:adjustRightInd w:val="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1.《中华人民共和国防洪法》第三十六条</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第三十八条</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2.《中华人民共和国防汛条例》(国务院令第86号公布，第588号修正)第十五条</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第十七条第二款。3.《中华人民共和国抗旱条例》(国务院令第552号)第三十条。4.《江西省实施&lt;中华人民共和国防洪法&gt;办法》第二十七条。</w:t>
            </w:r>
          </w:p>
        </w:tc>
      </w:tr>
      <w:tr w14:paraId="1E87E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695" w:type="dxa"/>
            <w:noWrap w:val="0"/>
            <w:vAlign w:val="center"/>
          </w:tcPr>
          <w:p w14:paraId="7EC34672">
            <w:pPr>
              <w:autoSpaceDE w:val="0"/>
              <w:autoSpaceDN w:val="0"/>
              <w:adjustRightInd w:val="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3</w:t>
            </w:r>
          </w:p>
        </w:tc>
        <w:tc>
          <w:tcPr>
            <w:tcW w:w="1414" w:type="dxa"/>
            <w:noWrap w:val="0"/>
            <w:vAlign w:val="center"/>
          </w:tcPr>
          <w:p w14:paraId="523B46AC">
            <w:pPr>
              <w:autoSpaceDE w:val="0"/>
              <w:autoSpaceDN w:val="0"/>
              <w:adjustRightInd w:val="0"/>
              <w:jc w:val="left"/>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樟斗镇人民政府</w:t>
            </w:r>
          </w:p>
        </w:tc>
        <w:tc>
          <w:tcPr>
            <w:tcW w:w="1511" w:type="dxa"/>
            <w:noWrap w:val="0"/>
            <w:vAlign w:val="center"/>
          </w:tcPr>
          <w:p w14:paraId="47DFE666">
            <w:pPr>
              <w:autoSpaceDE w:val="0"/>
              <w:autoSpaceDN w:val="0"/>
              <w:adjustRightInd w:val="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消防安全检查</w:t>
            </w:r>
          </w:p>
        </w:tc>
        <w:tc>
          <w:tcPr>
            <w:tcW w:w="1266" w:type="dxa"/>
            <w:noWrap w:val="0"/>
            <w:vAlign w:val="center"/>
          </w:tcPr>
          <w:p w14:paraId="051C19AB">
            <w:pPr>
              <w:autoSpaceDE w:val="0"/>
              <w:autoSpaceDN w:val="0"/>
              <w:adjustRightInd w:val="0"/>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行政检查</w:t>
            </w:r>
          </w:p>
        </w:tc>
        <w:tc>
          <w:tcPr>
            <w:tcW w:w="5385" w:type="dxa"/>
            <w:noWrap w:val="0"/>
            <w:vAlign w:val="center"/>
          </w:tcPr>
          <w:p w14:paraId="14EBB613">
            <w:pPr>
              <w:autoSpaceDE w:val="0"/>
              <w:autoSpaceDN w:val="0"/>
              <w:adjustRightInd w:val="0"/>
              <w:jc w:val="left"/>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中华人民共和国消防法》第三十一条:在农业收获季节、森林和草原防火期间、重大节假日期间以及火灾多发季节，地方各级人民政府应当组织开展有针对性的消防宣传教育，采取防火措施，进行消防安全检查。第五十二条第一款:地方各级人民政府应当落实消防工作责任制对本级人民政府有关部门履行消防安全职责的情况进行监督检查。</w:t>
            </w:r>
          </w:p>
        </w:tc>
      </w:tr>
      <w:tr w14:paraId="7A7CC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695" w:type="dxa"/>
            <w:noWrap w:val="0"/>
            <w:vAlign w:val="center"/>
          </w:tcPr>
          <w:p w14:paraId="419F3326">
            <w:pPr>
              <w:autoSpaceDE w:val="0"/>
              <w:autoSpaceDN w:val="0"/>
              <w:adjustRightInd w:val="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4</w:t>
            </w:r>
          </w:p>
        </w:tc>
        <w:tc>
          <w:tcPr>
            <w:tcW w:w="1414" w:type="dxa"/>
            <w:noWrap w:val="0"/>
            <w:vAlign w:val="center"/>
          </w:tcPr>
          <w:p w14:paraId="194D5BF8">
            <w:pPr>
              <w:autoSpaceDE w:val="0"/>
              <w:autoSpaceDN w:val="0"/>
              <w:adjustRightInd w:val="0"/>
              <w:jc w:val="left"/>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樟斗镇人民政府</w:t>
            </w:r>
          </w:p>
        </w:tc>
        <w:tc>
          <w:tcPr>
            <w:tcW w:w="1511" w:type="dxa"/>
            <w:noWrap w:val="0"/>
            <w:vAlign w:val="center"/>
          </w:tcPr>
          <w:p w14:paraId="3D5AE63C">
            <w:pPr>
              <w:autoSpaceDE w:val="0"/>
              <w:autoSpaceDN w:val="0"/>
              <w:adjustRightInd w:val="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协助做好本行政区域内食品小作坊、小餐饮、小食杂店和食品小摊贩的监督检查</w:t>
            </w:r>
          </w:p>
        </w:tc>
        <w:tc>
          <w:tcPr>
            <w:tcW w:w="1266" w:type="dxa"/>
            <w:noWrap w:val="0"/>
            <w:vAlign w:val="center"/>
          </w:tcPr>
          <w:p w14:paraId="1B59C526">
            <w:pPr>
              <w:autoSpaceDE w:val="0"/>
              <w:autoSpaceDN w:val="0"/>
              <w:adjustRightInd w:val="0"/>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行政检查</w:t>
            </w:r>
          </w:p>
        </w:tc>
        <w:tc>
          <w:tcPr>
            <w:tcW w:w="5385" w:type="dxa"/>
            <w:noWrap w:val="0"/>
            <w:vAlign w:val="center"/>
          </w:tcPr>
          <w:p w14:paraId="3AB1ED99">
            <w:pPr>
              <w:autoSpaceDE w:val="0"/>
              <w:autoSpaceDN w:val="0"/>
              <w:adjustRightInd w:val="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《江西省食品小作坊小餐饮小食杂店小摊贩管理条例》第四条第三款</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第三十七条。</w:t>
            </w:r>
          </w:p>
        </w:tc>
      </w:tr>
      <w:tr w14:paraId="5931F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695" w:type="dxa"/>
            <w:noWrap w:val="0"/>
            <w:vAlign w:val="center"/>
          </w:tcPr>
          <w:p w14:paraId="1E464187">
            <w:pPr>
              <w:autoSpaceDE w:val="0"/>
              <w:autoSpaceDN w:val="0"/>
              <w:adjustRightInd w:val="0"/>
              <w:jc w:val="center"/>
              <w:rPr>
                <w:rFonts w:hint="default"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5</w:t>
            </w:r>
          </w:p>
        </w:tc>
        <w:tc>
          <w:tcPr>
            <w:tcW w:w="1414" w:type="dxa"/>
            <w:noWrap w:val="0"/>
            <w:vAlign w:val="center"/>
          </w:tcPr>
          <w:p w14:paraId="19E9492E">
            <w:pPr>
              <w:autoSpaceDE w:val="0"/>
              <w:autoSpaceDN w:val="0"/>
              <w:adjustRightInd w:val="0"/>
              <w:jc w:val="left"/>
              <w:rPr>
                <w:rFonts w:hint="eastAsia" w:ascii="仿宋_GB2312" w:hAnsi="仿宋_GB2312" w:eastAsia="仿宋_GB2312" w:cs="仿宋_GB2312"/>
                <w:color w:val="000000"/>
                <w:kern w:val="0"/>
                <w:sz w:val="24"/>
                <w:szCs w:val="24"/>
                <w:lang w:val="en-US" w:eastAsia="zh-CN"/>
              </w:rPr>
            </w:pPr>
            <w:r>
              <w:rPr>
                <w:rFonts w:hint="eastAsia" w:ascii="仿宋_GB2312" w:hAnsi="仿宋_GB2312" w:eastAsia="仿宋_GB2312" w:cs="仿宋_GB2312"/>
                <w:color w:val="000000"/>
                <w:kern w:val="0"/>
                <w:sz w:val="24"/>
                <w:szCs w:val="24"/>
                <w:lang w:val="en-US" w:eastAsia="zh-CN"/>
              </w:rPr>
              <w:t>樟斗镇人民政府</w:t>
            </w:r>
          </w:p>
        </w:tc>
        <w:tc>
          <w:tcPr>
            <w:tcW w:w="1511" w:type="dxa"/>
            <w:noWrap w:val="0"/>
            <w:vAlign w:val="center"/>
          </w:tcPr>
          <w:p w14:paraId="4F74D498">
            <w:pPr>
              <w:autoSpaceDE w:val="0"/>
              <w:autoSpaceDN w:val="0"/>
              <w:adjustRightInd w:val="0"/>
              <w:jc w:val="center"/>
              <w:rPr>
                <w:rFonts w:hint="eastAsia" w:ascii="仿宋_GB2312" w:hAnsi="仿宋_GB2312" w:eastAsia="仿宋_GB2312" w:cs="仿宋_GB2312"/>
                <w:color w:val="000000"/>
                <w:kern w:val="0"/>
                <w:sz w:val="24"/>
                <w:szCs w:val="24"/>
              </w:rPr>
            </w:pPr>
            <w:r>
              <w:rPr>
                <w:rFonts w:hint="eastAsia" w:ascii="仿宋_GB2312" w:hAnsi="仿宋_GB2312" w:eastAsia="仿宋_GB2312" w:cs="仿宋_GB2312"/>
                <w:color w:val="000000"/>
                <w:kern w:val="0"/>
                <w:sz w:val="24"/>
                <w:szCs w:val="24"/>
              </w:rPr>
              <w:t>对违反农村宅基地管理法律、法规的行为进行监督检查</w:t>
            </w:r>
          </w:p>
        </w:tc>
        <w:tc>
          <w:tcPr>
            <w:tcW w:w="1266" w:type="dxa"/>
            <w:noWrap w:val="0"/>
            <w:vAlign w:val="center"/>
          </w:tcPr>
          <w:p w14:paraId="7CE6CEEF">
            <w:pPr>
              <w:autoSpaceDE w:val="0"/>
              <w:autoSpaceDN w:val="0"/>
              <w:adjustRightInd w:val="0"/>
              <w:jc w:val="center"/>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lang w:eastAsia="zh-CN"/>
              </w:rPr>
              <w:t>行政检查</w:t>
            </w:r>
          </w:p>
        </w:tc>
        <w:tc>
          <w:tcPr>
            <w:tcW w:w="5385" w:type="dxa"/>
            <w:noWrap w:val="0"/>
            <w:vAlign w:val="center"/>
          </w:tcPr>
          <w:p w14:paraId="1D989447">
            <w:pPr>
              <w:autoSpaceDE w:val="0"/>
              <w:autoSpaceDN w:val="0"/>
              <w:adjustRightInd w:val="0"/>
              <w:jc w:val="both"/>
              <w:rPr>
                <w:rFonts w:hint="eastAsia" w:ascii="仿宋_GB2312" w:hAnsi="仿宋_GB2312" w:eastAsia="仿宋_GB2312" w:cs="仿宋_GB2312"/>
                <w:color w:val="000000"/>
                <w:kern w:val="0"/>
                <w:sz w:val="24"/>
                <w:szCs w:val="24"/>
                <w:lang w:eastAsia="zh-CN"/>
              </w:rPr>
            </w:pPr>
            <w:r>
              <w:rPr>
                <w:rFonts w:hint="eastAsia" w:ascii="仿宋_GB2312" w:hAnsi="仿宋_GB2312" w:eastAsia="仿宋_GB2312" w:cs="仿宋_GB2312"/>
                <w:color w:val="000000"/>
                <w:kern w:val="0"/>
                <w:sz w:val="24"/>
                <w:szCs w:val="24"/>
              </w:rPr>
              <w:t>《中华人民共和国土地管理法》第三条</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第六十二条</w:t>
            </w:r>
            <w:r>
              <w:rPr>
                <w:rFonts w:hint="eastAsia" w:ascii="仿宋_GB2312" w:hAnsi="仿宋_GB2312" w:eastAsia="仿宋_GB2312" w:cs="仿宋_GB2312"/>
                <w:color w:val="000000"/>
                <w:kern w:val="0"/>
                <w:sz w:val="24"/>
                <w:szCs w:val="24"/>
                <w:lang w:eastAsia="zh-CN"/>
              </w:rPr>
              <w:t>，</w:t>
            </w:r>
            <w:r>
              <w:rPr>
                <w:rFonts w:hint="eastAsia" w:ascii="仿宋_GB2312" w:hAnsi="仿宋_GB2312" w:eastAsia="仿宋_GB2312" w:cs="仿宋_GB2312"/>
                <w:color w:val="000000"/>
                <w:kern w:val="0"/>
                <w:sz w:val="24"/>
                <w:szCs w:val="24"/>
              </w:rPr>
              <w:t>《中华人民共和国城乡规划法》第六十五条</w:t>
            </w:r>
            <w:r>
              <w:rPr>
                <w:rFonts w:hint="eastAsia" w:ascii="仿宋_GB2312" w:hAnsi="仿宋_GB2312" w:eastAsia="仿宋_GB2312" w:cs="仿宋_GB2312"/>
                <w:color w:val="000000"/>
                <w:kern w:val="0"/>
                <w:sz w:val="24"/>
                <w:szCs w:val="24"/>
                <w:lang w:eastAsia="zh-CN"/>
              </w:rPr>
              <w:t>。</w:t>
            </w:r>
          </w:p>
          <w:p w14:paraId="666B3802">
            <w:pPr>
              <w:autoSpaceDE w:val="0"/>
              <w:autoSpaceDN w:val="0"/>
              <w:adjustRightInd w:val="0"/>
              <w:jc w:val="center"/>
              <w:rPr>
                <w:rFonts w:hint="eastAsia" w:ascii="仿宋_GB2312" w:hAnsi="仿宋_GB2312" w:eastAsia="仿宋_GB2312" w:cs="仿宋_GB2312"/>
                <w:color w:val="000000"/>
                <w:kern w:val="0"/>
                <w:sz w:val="24"/>
                <w:szCs w:val="24"/>
              </w:rPr>
            </w:pPr>
          </w:p>
        </w:tc>
      </w:tr>
    </w:tbl>
    <w:p w14:paraId="6FDF63DD">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仿宋_GB2312" w:hAnsi="仿宋_GB2312" w:eastAsia="仿宋_GB2312" w:cs="仿宋_GB2312"/>
          <w:sz w:val="28"/>
          <w:szCs w:val="28"/>
          <w:lang w:val="en-US" w:eastAsia="zh-CN"/>
        </w:rPr>
      </w:pPr>
    </w:p>
    <w:p w14:paraId="0C832786">
      <w:r>
        <w:rPr>
          <w:rFonts w:hint="eastAsia" w:ascii="仿宋_GB2312" w:hAnsi="仿宋_GB2312" w:eastAsia="仿宋_GB2312" w:cs="仿宋_GB2312"/>
          <w:sz w:val="28"/>
          <w:szCs w:val="28"/>
          <w:lang w:val="en-US" w:eastAsia="zh-CN"/>
        </w:rPr>
        <w:br w:type="page"/>
      </w:r>
    </w:p>
    <w:sectPr>
      <w:pgSz w:w="11906" w:h="16838"/>
      <w:pgMar w:top="1587" w:right="1587"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B8A0B79"/>
    <w:multiLevelType w:val="singleLevel"/>
    <w:tmpl w:val="6B8A0B79"/>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djYTc5MDgzM2I2NTM1M2E3ZmY1NWY2M2Q4M2UwNDIifQ=="/>
  </w:docVars>
  <w:rsids>
    <w:rsidRoot w:val="57B50762"/>
    <w:rsid w:val="459D0CC6"/>
    <w:rsid w:val="57B50762"/>
    <w:rsid w:val="5A684608"/>
    <w:rsid w:val="6DBE56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975</Words>
  <Characters>1023</Characters>
  <Lines>0</Lines>
  <Paragraphs>0</Paragraphs>
  <TotalTime>9</TotalTime>
  <ScaleCrop>false</ScaleCrop>
  <LinksUpToDate>false</LinksUpToDate>
  <CharactersWithSpaces>1024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2025-05-30T03:37:00Z</dcterms:created>
  <dc:creator>我劝你早点喜欢我</dc:creator>
  <cp:lastModifiedBy>伍陆柒</cp:lastModifiedBy>
  <dcterms:modified xsi:type="dcterms:W3CDTF">2025-05-30T07:10:28Z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3A10A5491DD14059B46BFFB553DEE012_13</vt:lpwstr>
  </property>
  <property fmtid="{D5CDD505-2E9C-101B-9397-08002B2CF9AE}" pid="4" name="KSOTemplateDocerSaveRecord">
    <vt:lpwstr>eyJoZGlkIjoiYjIyNTZhNWQ2OTM5OTkxYmVlYTY2YTUzYjY1MzEzNTIiLCJ1c2VySWQiOiI4MjI4NDc4NTcifQ==</vt:lpwstr>
  </property>
</Properties>
</file>