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68B6B6">
      <w:pPr>
        <w:keepNext w:val="0"/>
        <w:keepLines w:val="0"/>
        <w:pageBreakBefore w:val="0"/>
        <w:widowControl w:val="0"/>
        <w:kinsoku/>
        <w:wordWrap/>
        <w:overflowPunct/>
        <w:topLinePunct w:val="0"/>
        <w:autoSpaceDE w:val="0"/>
        <w:autoSpaceDN w:val="0"/>
        <w:bidi w:val="0"/>
        <w:adjustRightInd w:val="0"/>
        <w:snapToGrid/>
        <w:spacing w:line="600" w:lineRule="exact"/>
        <w:jc w:val="center"/>
        <w:textAlignment w:val="auto"/>
        <w:rPr>
          <w:rFonts w:hint="eastAsia" w:ascii="方正小标宋简体" w:hAnsi="方正小标宋简体" w:eastAsia="方正小标宋简体" w:cs="方正小标宋简体"/>
          <w:color w:val="000000"/>
          <w:kern w:val="0"/>
          <w:sz w:val="44"/>
          <w:szCs w:val="44"/>
          <w:lang w:eastAsia="zh-CN"/>
        </w:rPr>
      </w:pPr>
      <w:bookmarkStart w:id="0" w:name="_GoBack"/>
      <w:r>
        <w:rPr>
          <w:rFonts w:hint="eastAsia" w:ascii="方正小标宋简体" w:hAnsi="方正小标宋简体" w:eastAsia="方正小标宋简体" w:cs="方正小标宋简体"/>
          <w:color w:val="000000"/>
          <w:kern w:val="0"/>
          <w:sz w:val="44"/>
          <w:szCs w:val="44"/>
          <w:lang w:eastAsia="zh-CN"/>
        </w:rPr>
        <w:t>涉企</w:t>
      </w:r>
      <w:r>
        <w:rPr>
          <w:rFonts w:hint="eastAsia" w:ascii="方正小标宋简体" w:hAnsi="方正小标宋简体" w:eastAsia="方正小标宋简体" w:cs="方正小标宋简体"/>
          <w:color w:val="000000"/>
          <w:kern w:val="0"/>
          <w:sz w:val="44"/>
          <w:szCs w:val="44"/>
        </w:rPr>
        <w:t>行政</w:t>
      </w:r>
      <w:r>
        <w:rPr>
          <w:rFonts w:hint="eastAsia" w:ascii="方正小标宋简体" w:hAnsi="方正小标宋简体" w:eastAsia="方正小标宋简体" w:cs="方正小标宋简体"/>
          <w:color w:val="000000"/>
          <w:kern w:val="0"/>
          <w:sz w:val="44"/>
          <w:szCs w:val="44"/>
          <w:lang w:eastAsia="zh-CN"/>
        </w:rPr>
        <w:t>检查</w:t>
      </w:r>
      <w:r>
        <w:rPr>
          <w:rFonts w:hint="eastAsia" w:ascii="方正小标宋简体" w:hAnsi="方正小标宋简体" w:eastAsia="方正小标宋简体" w:cs="方正小标宋简体"/>
          <w:color w:val="000000"/>
          <w:kern w:val="0"/>
          <w:sz w:val="44"/>
          <w:szCs w:val="44"/>
        </w:rPr>
        <w:t>事项</w:t>
      </w:r>
      <w:r>
        <w:rPr>
          <w:rFonts w:hint="eastAsia" w:ascii="方正小标宋简体" w:hAnsi="方正小标宋简体" w:eastAsia="方正小标宋简体" w:cs="方正小标宋简体"/>
          <w:color w:val="000000"/>
          <w:kern w:val="0"/>
          <w:sz w:val="44"/>
          <w:szCs w:val="44"/>
          <w:lang w:eastAsia="zh-CN"/>
        </w:rPr>
        <w:t>目录</w:t>
      </w:r>
    </w:p>
    <w:bookmarkEnd w:id="0"/>
    <w:p w14:paraId="0DE7FB3C">
      <w:pPr>
        <w:tabs>
          <w:tab w:val="left" w:pos="1312"/>
        </w:tabs>
        <w:bidi w:val="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color w:val="000000"/>
          <w:kern w:val="0"/>
          <w:sz w:val="32"/>
          <w:szCs w:val="32"/>
          <w:lang w:val="en-US" w:eastAsia="zh-CN"/>
        </w:rPr>
        <w:t>执法主体（盖章）：大余县青龙镇人民政府</w:t>
      </w:r>
    </w:p>
    <w:tbl>
      <w:tblPr>
        <w:tblStyle w:val="3"/>
        <w:tblW w:w="104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5"/>
        <w:gridCol w:w="1414"/>
        <w:gridCol w:w="1511"/>
        <w:gridCol w:w="1403"/>
        <w:gridCol w:w="5409"/>
      </w:tblGrid>
      <w:tr w14:paraId="7B419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695" w:type="dxa"/>
            <w:noWrap w:val="0"/>
            <w:vAlign w:val="center"/>
          </w:tcPr>
          <w:p w14:paraId="1906A994">
            <w:pPr>
              <w:keepNext w:val="0"/>
              <w:keepLines w:val="0"/>
              <w:pageBreakBefore w:val="0"/>
              <w:widowControl w:val="0"/>
              <w:kinsoku/>
              <w:wordWrap/>
              <w:overflowPunct/>
              <w:topLinePunct w:val="0"/>
              <w:autoSpaceDE w:val="0"/>
              <w:autoSpaceDN w:val="0"/>
              <w:bidi w:val="0"/>
              <w:adjustRightInd w:val="0"/>
              <w:snapToGrid/>
              <w:spacing w:line="500" w:lineRule="exact"/>
              <w:jc w:val="center"/>
              <w:textAlignment w:val="auto"/>
              <w:rPr>
                <w:rFonts w:hint="eastAsia"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序号</w:t>
            </w:r>
          </w:p>
        </w:tc>
        <w:tc>
          <w:tcPr>
            <w:tcW w:w="1414" w:type="dxa"/>
            <w:noWrap w:val="0"/>
            <w:vAlign w:val="center"/>
          </w:tcPr>
          <w:p w14:paraId="2A4DA59B">
            <w:pPr>
              <w:keepNext w:val="0"/>
              <w:keepLines w:val="0"/>
              <w:pageBreakBefore w:val="0"/>
              <w:widowControl w:val="0"/>
              <w:kinsoku/>
              <w:wordWrap/>
              <w:overflowPunct/>
              <w:topLinePunct w:val="0"/>
              <w:autoSpaceDE w:val="0"/>
              <w:autoSpaceDN w:val="0"/>
              <w:bidi w:val="0"/>
              <w:adjustRightInd w:val="0"/>
              <w:snapToGrid/>
              <w:spacing w:line="500" w:lineRule="exact"/>
              <w:jc w:val="center"/>
              <w:textAlignment w:val="auto"/>
              <w:rPr>
                <w:rFonts w:hint="eastAsia" w:ascii="仿宋_GB2312" w:hAnsi="仿宋_GB2312" w:eastAsia="仿宋_GB2312" w:cs="仿宋_GB2312"/>
                <w:b/>
                <w:bCs/>
                <w:color w:val="000000"/>
                <w:kern w:val="0"/>
                <w:sz w:val="28"/>
                <w:szCs w:val="28"/>
                <w:lang w:eastAsia="zh-CN"/>
              </w:rPr>
            </w:pPr>
            <w:r>
              <w:rPr>
                <w:rFonts w:hint="eastAsia" w:ascii="仿宋_GB2312" w:hAnsi="仿宋_GB2312" w:eastAsia="仿宋_GB2312" w:cs="仿宋_GB2312"/>
                <w:b/>
                <w:bCs/>
                <w:color w:val="000000"/>
                <w:kern w:val="0"/>
                <w:sz w:val="28"/>
                <w:szCs w:val="28"/>
                <w:lang w:eastAsia="zh-CN"/>
              </w:rPr>
              <w:t>实施主体</w:t>
            </w:r>
          </w:p>
        </w:tc>
        <w:tc>
          <w:tcPr>
            <w:tcW w:w="1511" w:type="dxa"/>
            <w:noWrap w:val="0"/>
            <w:vAlign w:val="center"/>
          </w:tcPr>
          <w:p w14:paraId="0B0F3CDB">
            <w:pPr>
              <w:keepNext w:val="0"/>
              <w:keepLines w:val="0"/>
              <w:pageBreakBefore w:val="0"/>
              <w:widowControl w:val="0"/>
              <w:kinsoku/>
              <w:wordWrap/>
              <w:overflowPunct/>
              <w:topLinePunct w:val="0"/>
              <w:autoSpaceDE w:val="0"/>
              <w:autoSpaceDN w:val="0"/>
              <w:bidi w:val="0"/>
              <w:adjustRightInd w:val="0"/>
              <w:snapToGrid/>
              <w:spacing w:line="500" w:lineRule="exact"/>
              <w:jc w:val="center"/>
              <w:textAlignment w:val="auto"/>
              <w:rPr>
                <w:rFonts w:hint="eastAsia" w:ascii="仿宋_GB2312" w:hAnsi="仿宋_GB2312" w:eastAsia="仿宋_GB2312" w:cs="仿宋_GB2312"/>
                <w:b/>
                <w:bCs/>
                <w:color w:val="000000"/>
                <w:kern w:val="0"/>
                <w:sz w:val="28"/>
                <w:szCs w:val="28"/>
                <w:lang w:eastAsia="zh-CN"/>
              </w:rPr>
            </w:pPr>
            <w:r>
              <w:rPr>
                <w:rFonts w:hint="eastAsia" w:ascii="仿宋_GB2312" w:hAnsi="仿宋_GB2312" w:eastAsia="仿宋_GB2312" w:cs="仿宋_GB2312"/>
                <w:b/>
                <w:bCs/>
                <w:color w:val="000000"/>
                <w:kern w:val="0"/>
                <w:sz w:val="28"/>
                <w:szCs w:val="28"/>
                <w:lang w:eastAsia="zh-CN"/>
              </w:rPr>
              <w:t>事项</w:t>
            </w:r>
            <w:r>
              <w:rPr>
                <w:rFonts w:hint="eastAsia" w:ascii="仿宋_GB2312" w:hAnsi="仿宋_GB2312" w:eastAsia="仿宋_GB2312" w:cs="仿宋_GB2312"/>
                <w:b/>
                <w:bCs/>
                <w:color w:val="000000"/>
                <w:kern w:val="0"/>
                <w:sz w:val="28"/>
                <w:szCs w:val="28"/>
              </w:rPr>
              <w:t>名称</w:t>
            </w:r>
          </w:p>
        </w:tc>
        <w:tc>
          <w:tcPr>
            <w:tcW w:w="1403" w:type="dxa"/>
            <w:noWrap w:val="0"/>
            <w:vAlign w:val="center"/>
          </w:tcPr>
          <w:p w14:paraId="0F52B8E2">
            <w:pPr>
              <w:keepNext w:val="0"/>
              <w:keepLines w:val="0"/>
              <w:pageBreakBefore w:val="0"/>
              <w:widowControl w:val="0"/>
              <w:kinsoku/>
              <w:wordWrap/>
              <w:overflowPunct/>
              <w:topLinePunct w:val="0"/>
              <w:autoSpaceDE w:val="0"/>
              <w:autoSpaceDN w:val="0"/>
              <w:bidi w:val="0"/>
              <w:adjustRightInd w:val="0"/>
              <w:snapToGrid/>
              <w:spacing w:line="500" w:lineRule="exact"/>
              <w:jc w:val="center"/>
              <w:textAlignment w:val="auto"/>
              <w:rPr>
                <w:rFonts w:hint="eastAsia" w:ascii="仿宋_GB2312" w:hAnsi="仿宋_GB2312" w:eastAsia="仿宋_GB2312" w:cs="仿宋_GB2312"/>
                <w:b/>
                <w:bCs/>
                <w:color w:val="000000"/>
                <w:spacing w:val="-20"/>
                <w:kern w:val="0"/>
                <w:sz w:val="28"/>
                <w:szCs w:val="28"/>
              </w:rPr>
            </w:pPr>
            <w:r>
              <w:rPr>
                <w:rFonts w:hint="eastAsia" w:ascii="仿宋_GB2312" w:hAnsi="仿宋_GB2312" w:eastAsia="仿宋_GB2312" w:cs="仿宋_GB2312"/>
                <w:b/>
                <w:bCs/>
                <w:color w:val="000000"/>
                <w:spacing w:val="-20"/>
                <w:kern w:val="0"/>
                <w:sz w:val="28"/>
                <w:szCs w:val="28"/>
              </w:rPr>
              <w:t>执法类别</w:t>
            </w:r>
          </w:p>
        </w:tc>
        <w:tc>
          <w:tcPr>
            <w:tcW w:w="5409" w:type="dxa"/>
            <w:noWrap w:val="0"/>
            <w:vAlign w:val="center"/>
          </w:tcPr>
          <w:p w14:paraId="17F16D51">
            <w:pPr>
              <w:keepNext w:val="0"/>
              <w:keepLines w:val="0"/>
              <w:pageBreakBefore w:val="0"/>
              <w:widowControl w:val="0"/>
              <w:kinsoku/>
              <w:wordWrap/>
              <w:overflowPunct/>
              <w:topLinePunct w:val="0"/>
              <w:autoSpaceDE w:val="0"/>
              <w:autoSpaceDN w:val="0"/>
              <w:bidi w:val="0"/>
              <w:adjustRightInd w:val="0"/>
              <w:snapToGrid/>
              <w:spacing w:line="500" w:lineRule="exact"/>
              <w:jc w:val="center"/>
              <w:textAlignment w:val="auto"/>
              <w:rPr>
                <w:rFonts w:hint="eastAsia"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执法依据</w:t>
            </w:r>
          </w:p>
        </w:tc>
      </w:tr>
      <w:tr w14:paraId="40B2C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695" w:type="dxa"/>
            <w:noWrap w:val="0"/>
            <w:vAlign w:val="center"/>
          </w:tcPr>
          <w:p w14:paraId="4CC35F11">
            <w:pPr>
              <w:autoSpaceDE w:val="0"/>
              <w:autoSpaceDN w:val="0"/>
              <w:adjustRightInd w:val="0"/>
              <w:jc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w:t>
            </w:r>
          </w:p>
        </w:tc>
        <w:tc>
          <w:tcPr>
            <w:tcW w:w="1414" w:type="dxa"/>
            <w:noWrap w:val="0"/>
            <w:vAlign w:val="center"/>
          </w:tcPr>
          <w:p w14:paraId="4994A2B7">
            <w:pPr>
              <w:autoSpaceDE w:val="0"/>
              <w:autoSpaceDN w:val="0"/>
              <w:adjustRightInd w:val="0"/>
              <w:jc w:val="left"/>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青龙镇人民政府</w:t>
            </w:r>
          </w:p>
        </w:tc>
        <w:tc>
          <w:tcPr>
            <w:tcW w:w="1511" w:type="dxa"/>
            <w:noWrap w:val="0"/>
            <w:vAlign w:val="center"/>
          </w:tcPr>
          <w:p w14:paraId="4AA1883E">
            <w:pPr>
              <w:autoSpaceDE w:val="0"/>
              <w:autoSpaceDN w:val="0"/>
              <w:adjustRightInd w:val="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对草地保护、建设和利用情况的监督检查</w:t>
            </w:r>
          </w:p>
        </w:tc>
        <w:tc>
          <w:tcPr>
            <w:tcW w:w="1403" w:type="dxa"/>
            <w:noWrap w:val="0"/>
            <w:vAlign w:val="center"/>
          </w:tcPr>
          <w:p w14:paraId="447BAEE0">
            <w:pPr>
              <w:autoSpaceDE w:val="0"/>
              <w:autoSpaceDN w:val="0"/>
              <w:adjustRightInd w:val="0"/>
              <w:jc w:val="center"/>
              <w:rPr>
                <w:rFonts w:hint="eastAsia" w:ascii="仿宋_GB2312" w:hAnsi="仿宋_GB2312" w:eastAsia="仿宋_GB2312" w:cs="仿宋_GB2312"/>
                <w:color w:val="000000"/>
                <w:kern w:val="0"/>
                <w:sz w:val="21"/>
                <w:szCs w:val="21"/>
                <w:lang w:eastAsia="zh-CN"/>
              </w:rPr>
            </w:pPr>
            <w:r>
              <w:rPr>
                <w:rFonts w:hint="eastAsia" w:ascii="仿宋_GB2312" w:hAnsi="仿宋_GB2312" w:eastAsia="仿宋_GB2312" w:cs="仿宋_GB2312"/>
                <w:color w:val="000000"/>
                <w:kern w:val="0"/>
                <w:sz w:val="21"/>
                <w:szCs w:val="21"/>
                <w:lang w:eastAsia="zh-CN"/>
              </w:rPr>
              <w:t>行政检查</w:t>
            </w:r>
          </w:p>
        </w:tc>
        <w:tc>
          <w:tcPr>
            <w:tcW w:w="5409" w:type="dxa"/>
            <w:noWrap w:val="0"/>
            <w:vAlign w:val="center"/>
          </w:tcPr>
          <w:p w14:paraId="60A98FF9">
            <w:pPr>
              <w:numPr>
                <w:ilvl w:val="0"/>
                <w:numId w:val="0"/>
              </w:numPr>
              <w:autoSpaceDE w:val="0"/>
              <w:autoSpaceDN w:val="0"/>
              <w:adjustRightInd w:val="0"/>
              <w:jc w:val="left"/>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lang w:val="en-US" w:eastAsia="zh-CN" w:bidi="ar-SA"/>
              </w:rPr>
              <w:t>《中华人民共和国草原法》第八条第三款:乡(镇)人民政府应当加强对本行政区域内草原保护、建设和利用情况的监督检查，根据需要可以设专职或者兼职人员负责具体监督检查工作。</w:t>
            </w:r>
          </w:p>
        </w:tc>
      </w:tr>
      <w:tr w14:paraId="3BC18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695" w:type="dxa"/>
            <w:noWrap w:val="0"/>
            <w:vAlign w:val="center"/>
          </w:tcPr>
          <w:p w14:paraId="3813843C">
            <w:pPr>
              <w:autoSpaceDE w:val="0"/>
              <w:autoSpaceDN w:val="0"/>
              <w:adjustRightInd w:val="0"/>
              <w:jc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w:t>
            </w:r>
          </w:p>
        </w:tc>
        <w:tc>
          <w:tcPr>
            <w:tcW w:w="1414" w:type="dxa"/>
            <w:noWrap w:val="0"/>
            <w:vAlign w:val="center"/>
          </w:tcPr>
          <w:p w14:paraId="4A872497">
            <w:pPr>
              <w:autoSpaceDE w:val="0"/>
              <w:autoSpaceDN w:val="0"/>
              <w:adjustRightInd w:val="0"/>
              <w:jc w:val="left"/>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lang w:val="en-US" w:eastAsia="zh-CN"/>
              </w:rPr>
              <w:t>青龙镇人民政府</w:t>
            </w:r>
          </w:p>
        </w:tc>
        <w:tc>
          <w:tcPr>
            <w:tcW w:w="1511" w:type="dxa"/>
            <w:noWrap w:val="0"/>
            <w:vAlign w:val="center"/>
          </w:tcPr>
          <w:p w14:paraId="11DF7E6D">
            <w:pPr>
              <w:autoSpaceDE w:val="0"/>
              <w:autoSpaceDN w:val="0"/>
              <w:adjustRightInd w:val="0"/>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对生产经营单位执行有关安全生产的法律、法规和国家标准或行业标准的情况进行监督检查</w:t>
            </w:r>
          </w:p>
        </w:tc>
        <w:tc>
          <w:tcPr>
            <w:tcW w:w="1403" w:type="dxa"/>
            <w:noWrap w:val="0"/>
            <w:vAlign w:val="center"/>
          </w:tcPr>
          <w:p w14:paraId="6335A168">
            <w:pPr>
              <w:autoSpaceDE w:val="0"/>
              <w:autoSpaceDN w:val="0"/>
              <w:adjustRightInd w:val="0"/>
              <w:jc w:val="center"/>
              <w:rPr>
                <w:rFonts w:hint="eastAsia" w:ascii="仿宋_GB2312" w:hAnsi="仿宋_GB2312" w:eastAsia="仿宋_GB2312" w:cs="仿宋_GB2312"/>
                <w:color w:val="000000"/>
                <w:kern w:val="0"/>
                <w:sz w:val="21"/>
                <w:szCs w:val="21"/>
                <w:lang w:eastAsia="zh-CN"/>
              </w:rPr>
            </w:pPr>
            <w:r>
              <w:rPr>
                <w:rFonts w:hint="eastAsia" w:ascii="仿宋_GB2312" w:hAnsi="仿宋_GB2312" w:eastAsia="仿宋_GB2312" w:cs="仿宋_GB2312"/>
                <w:color w:val="000000"/>
                <w:kern w:val="0"/>
                <w:sz w:val="21"/>
                <w:szCs w:val="21"/>
                <w:lang w:eastAsia="zh-CN"/>
              </w:rPr>
              <w:t>行政检查</w:t>
            </w:r>
          </w:p>
        </w:tc>
        <w:tc>
          <w:tcPr>
            <w:tcW w:w="5409" w:type="dxa"/>
            <w:noWrap w:val="0"/>
            <w:vAlign w:val="center"/>
          </w:tcPr>
          <w:p w14:paraId="1E6F6F2B">
            <w:pPr>
              <w:numPr>
                <w:ilvl w:val="0"/>
                <w:numId w:val="0"/>
              </w:numPr>
              <w:autoSpaceDE w:val="0"/>
              <w:autoSpaceDN w:val="0"/>
              <w:adjustRightInd w:val="0"/>
              <w:jc w:val="left"/>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lang w:val="en-US" w:eastAsia="zh-CN" w:bidi="ar-SA"/>
              </w:rPr>
              <w:t>1.</w:t>
            </w:r>
            <w:r>
              <w:rPr>
                <w:rFonts w:hint="eastAsia" w:ascii="仿宋_GB2312" w:hAnsi="仿宋_GB2312" w:eastAsia="仿宋_GB2312" w:cs="仿宋_GB2312"/>
                <w:color w:val="000000"/>
                <w:kern w:val="0"/>
                <w:sz w:val="21"/>
                <w:szCs w:val="21"/>
              </w:rPr>
              <w:t>《中华人民共和国安全生产法》第九条第二款</w:t>
            </w:r>
            <w:r>
              <w:rPr>
                <w:rFonts w:hint="eastAsia" w:ascii="仿宋_GB2312" w:hAnsi="仿宋_GB2312" w:eastAsia="仿宋_GB2312" w:cs="仿宋_GB2312"/>
                <w:color w:val="000000"/>
                <w:kern w:val="0"/>
                <w:sz w:val="21"/>
                <w:szCs w:val="21"/>
                <w:lang w:eastAsia="zh-CN"/>
              </w:rPr>
              <w:t>。</w:t>
            </w:r>
            <w:r>
              <w:rPr>
                <w:rFonts w:hint="eastAsia" w:ascii="仿宋_GB2312" w:hAnsi="仿宋_GB2312" w:eastAsia="仿宋_GB2312" w:cs="仿宋_GB2312"/>
                <w:color w:val="000000"/>
                <w:kern w:val="0"/>
                <w:sz w:val="21"/>
                <w:szCs w:val="21"/>
              </w:rPr>
              <w:t>2.《安全生产事故隐患排查治理暂行规定)(原国家安全生产监督管理总局令第16号)第五条。3.《江西省安全生产条例》第九条第一款。4.《江西省实施&lt;中华人民共和国矿山安全法&gt;办法》第二十五条。5.《江西省烟花爆竹安全管理办法》第三条第二款:乡（镇）人民政府、街道办事处全面负责本地区烟花爆竹的安全监督管理工作。6.《江西省重大生产安全事故隐患排查治理办法》第五条第二款</w:t>
            </w:r>
            <w:r>
              <w:rPr>
                <w:rFonts w:hint="eastAsia" w:ascii="仿宋_GB2312" w:hAnsi="仿宋_GB2312" w:eastAsia="仿宋_GB2312" w:cs="仿宋_GB2312"/>
                <w:color w:val="000000"/>
                <w:kern w:val="0"/>
                <w:sz w:val="21"/>
                <w:szCs w:val="21"/>
                <w:lang w:eastAsia="zh-CN"/>
              </w:rPr>
              <w:t>、第二十五条第一款、第二十七条第一款</w:t>
            </w:r>
            <w:r>
              <w:rPr>
                <w:rFonts w:hint="eastAsia" w:ascii="仿宋_GB2312" w:hAnsi="仿宋_GB2312" w:eastAsia="仿宋_GB2312" w:cs="仿宋_GB2312"/>
                <w:color w:val="000000"/>
                <w:kern w:val="0"/>
                <w:sz w:val="21"/>
                <w:szCs w:val="21"/>
              </w:rPr>
              <w:t>。</w:t>
            </w:r>
          </w:p>
        </w:tc>
      </w:tr>
      <w:tr w14:paraId="59349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695" w:type="dxa"/>
            <w:noWrap w:val="0"/>
            <w:vAlign w:val="center"/>
          </w:tcPr>
          <w:p w14:paraId="074CBF04">
            <w:pPr>
              <w:autoSpaceDE w:val="0"/>
              <w:autoSpaceDN w:val="0"/>
              <w:adjustRightInd w:val="0"/>
              <w:jc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w:t>
            </w:r>
          </w:p>
        </w:tc>
        <w:tc>
          <w:tcPr>
            <w:tcW w:w="1414" w:type="dxa"/>
            <w:noWrap w:val="0"/>
            <w:vAlign w:val="center"/>
          </w:tcPr>
          <w:p w14:paraId="737BB431">
            <w:pPr>
              <w:autoSpaceDE w:val="0"/>
              <w:autoSpaceDN w:val="0"/>
              <w:adjustRightInd w:val="0"/>
              <w:jc w:val="left"/>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lang w:val="en-US" w:eastAsia="zh-CN"/>
              </w:rPr>
              <w:t>青龙镇人民政府</w:t>
            </w:r>
          </w:p>
        </w:tc>
        <w:tc>
          <w:tcPr>
            <w:tcW w:w="1511" w:type="dxa"/>
            <w:noWrap w:val="0"/>
            <w:vAlign w:val="center"/>
          </w:tcPr>
          <w:p w14:paraId="08D5AFD4">
            <w:pPr>
              <w:tabs>
                <w:tab w:val="left" w:pos="665"/>
              </w:tabs>
              <w:autoSpaceDE w:val="0"/>
              <w:autoSpaceDN w:val="0"/>
              <w:adjustRightInd w:val="0"/>
              <w:jc w:val="left"/>
              <w:rPr>
                <w:rFonts w:hint="eastAsia" w:ascii="仿宋_GB2312" w:hAnsi="仿宋_GB2312" w:eastAsia="仿宋_GB2312" w:cs="仿宋_GB2312"/>
                <w:color w:val="000000"/>
                <w:kern w:val="0"/>
                <w:sz w:val="21"/>
                <w:szCs w:val="21"/>
                <w:lang w:eastAsia="zh-CN"/>
              </w:rPr>
            </w:pPr>
            <w:r>
              <w:rPr>
                <w:rFonts w:hint="eastAsia" w:ascii="仿宋_GB2312" w:hAnsi="仿宋_GB2312" w:eastAsia="仿宋_GB2312" w:cs="仿宋_GB2312"/>
                <w:color w:val="000000"/>
                <w:kern w:val="0"/>
                <w:sz w:val="21"/>
                <w:szCs w:val="21"/>
                <w:lang w:eastAsia="zh-CN"/>
              </w:rPr>
              <w:t>对防汛抗旱工作的检查</w:t>
            </w:r>
          </w:p>
        </w:tc>
        <w:tc>
          <w:tcPr>
            <w:tcW w:w="1403" w:type="dxa"/>
            <w:noWrap w:val="0"/>
            <w:vAlign w:val="center"/>
          </w:tcPr>
          <w:p w14:paraId="17FD99CE">
            <w:pPr>
              <w:autoSpaceDE w:val="0"/>
              <w:autoSpaceDN w:val="0"/>
              <w:adjustRightInd w:val="0"/>
              <w:jc w:val="center"/>
              <w:rPr>
                <w:rFonts w:hint="eastAsia" w:ascii="仿宋_GB2312" w:hAnsi="仿宋_GB2312" w:eastAsia="仿宋_GB2312" w:cs="仿宋_GB2312"/>
                <w:color w:val="000000"/>
                <w:kern w:val="0"/>
                <w:sz w:val="21"/>
                <w:szCs w:val="21"/>
                <w:lang w:eastAsia="zh-CN"/>
              </w:rPr>
            </w:pPr>
            <w:r>
              <w:rPr>
                <w:rFonts w:hint="eastAsia" w:ascii="仿宋_GB2312" w:hAnsi="仿宋_GB2312" w:eastAsia="仿宋_GB2312" w:cs="仿宋_GB2312"/>
                <w:color w:val="000000"/>
                <w:kern w:val="0"/>
                <w:sz w:val="21"/>
                <w:szCs w:val="21"/>
                <w:lang w:eastAsia="zh-CN"/>
              </w:rPr>
              <w:t>行政检查</w:t>
            </w:r>
          </w:p>
        </w:tc>
        <w:tc>
          <w:tcPr>
            <w:tcW w:w="5409" w:type="dxa"/>
            <w:noWrap w:val="0"/>
            <w:vAlign w:val="center"/>
          </w:tcPr>
          <w:p w14:paraId="67D6013B">
            <w:pPr>
              <w:autoSpaceDE w:val="0"/>
              <w:autoSpaceDN w:val="0"/>
              <w:adjustRightInd w:val="0"/>
              <w:jc w:val="left"/>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1.《中华人民共和国防洪法》第三十六条</w:t>
            </w:r>
            <w:r>
              <w:rPr>
                <w:rFonts w:hint="eastAsia" w:ascii="仿宋_GB2312" w:hAnsi="仿宋_GB2312" w:eastAsia="仿宋_GB2312" w:cs="仿宋_GB2312"/>
                <w:color w:val="000000"/>
                <w:kern w:val="0"/>
                <w:sz w:val="21"/>
                <w:szCs w:val="21"/>
                <w:lang w:eastAsia="zh-CN"/>
              </w:rPr>
              <w:t>、</w:t>
            </w:r>
            <w:r>
              <w:rPr>
                <w:rFonts w:hint="eastAsia" w:ascii="仿宋_GB2312" w:hAnsi="仿宋_GB2312" w:eastAsia="仿宋_GB2312" w:cs="仿宋_GB2312"/>
                <w:color w:val="000000"/>
                <w:kern w:val="0"/>
                <w:sz w:val="21"/>
                <w:szCs w:val="21"/>
              </w:rPr>
              <w:t>第三十八条</w:t>
            </w:r>
            <w:r>
              <w:rPr>
                <w:rFonts w:hint="eastAsia" w:ascii="仿宋_GB2312" w:hAnsi="仿宋_GB2312" w:eastAsia="仿宋_GB2312" w:cs="仿宋_GB2312"/>
                <w:color w:val="000000"/>
                <w:kern w:val="0"/>
                <w:sz w:val="21"/>
                <w:szCs w:val="21"/>
                <w:lang w:eastAsia="zh-CN"/>
              </w:rPr>
              <w:t>。</w:t>
            </w:r>
            <w:r>
              <w:rPr>
                <w:rFonts w:hint="eastAsia" w:ascii="仿宋_GB2312" w:hAnsi="仿宋_GB2312" w:eastAsia="仿宋_GB2312" w:cs="仿宋_GB2312"/>
                <w:color w:val="000000"/>
                <w:kern w:val="0"/>
                <w:sz w:val="21"/>
                <w:szCs w:val="21"/>
              </w:rPr>
              <w:t>2.《中华人民共和国防汛条例》(国务院令第86号公布，第588号修正)第十五条</w:t>
            </w:r>
            <w:r>
              <w:rPr>
                <w:rFonts w:hint="eastAsia" w:ascii="仿宋_GB2312" w:hAnsi="仿宋_GB2312" w:eastAsia="仿宋_GB2312" w:cs="仿宋_GB2312"/>
                <w:color w:val="000000"/>
                <w:kern w:val="0"/>
                <w:sz w:val="21"/>
                <w:szCs w:val="21"/>
                <w:lang w:eastAsia="zh-CN"/>
              </w:rPr>
              <w:t>、</w:t>
            </w:r>
            <w:r>
              <w:rPr>
                <w:rFonts w:hint="eastAsia" w:ascii="仿宋_GB2312" w:hAnsi="仿宋_GB2312" w:eastAsia="仿宋_GB2312" w:cs="仿宋_GB2312"/>
                <w:color w:val="000000"/>
                <w:kern w:val="0"/>
                <w:sz w:val="21"/>
                <w:szCs w:val="21"/>
              </w:rPr>
              <w:t>第十七条第二款。3.《中华人民共和国抗旱条例》(国务院令第552号)第三十条。4.《江西省实施&lt;中华人民共和国防洪法&gt;办法》第二十七条。</w:t>
            </w:r>
          </w:p>
        </w:tc>
      </w:tr>
      <w:tr w14:paraId="137E6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695" w:type="dxa"/>
            <w:noWrap w:val="0"/>
            <w:vAlign w:val="center"/>
          </w:tcPr>
          <w:p w14:paraId="01DD60F9">
            <w:pPr>
              <w:autoSpaceDE w:val="0"/>
              <w:autoSpaceDN w:val="0"/>
              <w:adjustRightInd w:val="0"/>
              <w:jc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w:t>
            </w:r>
          </w:p>
        </w:tc>
        <w:tc>
          <w:tcPr>
            <w:tcW w:w="1414" w:type="dxa"/>
            <w:noWrap w:val="0"/>
            <w:vAlign w:val="center"/>
          </w:tcPr>
          <w:p w14:paraId="1AE49748">
            <w:pPr>
              <w:autoSpaceDE w:val="0"/>
              <w:autoSpaceDN w:val="0"/>
              <w:adjustRightInd w:val="0"/>
              <w:jc w:val="left"/>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青龙镇人民政府</w:t>
            </w:r>
          </w:p>
        </w:tc>
        <w:tc>
          <w:tcPr>
            <w:tcW w:w="1511" w:type="dxa"/>
            <w:noWrap w:val="0"/>
            <w:vAlign w:val="center"/>
          </w:tcPr>
          <w:p w14:paraId="35E793A4">
            <w:pPr>
              <w:autoSpaceDE w:val="0"/>
              <w:autoSpaceDN w:val="0"/>
              <w:adjustRightInd w:val="0"/>
              <w:jc w:val="left"/>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消防安全检查</w:t>
            </w:r>
          </w:p>
        </w:tc>
        <w:tc>
          <w:tcPr>
            <w:tcW w:w="1403" w:type="dxa"/>
            <w:noWrap w:val="0"/>
            <w:vAlign w:val="center"/>
          </w:tcPr>
          <w:p w14:paraId="67EA3E68">
            <w:pPr>
              <w:autoSpaceDE w:val="0"/>
              <w:autoSpaceDN w:val="0"/>
              <w:adjustRightInd w:val="0"/>
              <w:jc w:val="center"/>
              <w:rPr>
                <w:rFonts w:hint="eastAsia" w:ascii="仿宋_GB2312" w:hAnsi="仿宋_GB2312" w:eastAsia="仿宋_GB2312" w:cs="仿宋_GB2312"/>
                <w:color w:val="000000"/>
                <w:kern w:val="0"/>
                <w:sz w:val="21"/>
                <w:szCs w:val="21"/>
                <w:lang w:eastAsia="zh-CN"/>
              </w:rPr>
            </w:pPr>
            <w:r>
              <w:rPr>
                <w:rFonts w:hint="eastAsia" w:ascii="仿宋_GB2312" w:hAnsi="仿宋_GB2312" w:eastAsia="仿宋_GB2312" w:cs="仿宋_GB2312"/>
                <w:color w:val="000000"/>
                <w:kern w:val="0"/>
                <w:sz w:val="21"/>
                <w:szCs w:val="21"/>
                <w:lang w:eastAsia="zh-CN"/>
              </w:rPr>
              <w:t>行政检查</w:t>
            </w:r>
          </w:p>
        </w:tc>
        <w:tc>
          <w:tcPr>
            <w:tcW w:w="5409" w:type="dxa"/>
            <w:noWrap w:val="0"/>
            <w:vAlign w:val="center"/>
          </w:tcPr>
          <w:p w14:paraId="19EA39AD">
            <w:pPr>
              <w:autoSpaceDE w:val="0"/>
              <w:autoSpaceDN w:val="0"/>
              <w:adjustRightInd w:val="0"/>
              <w:jc w:val="left"/>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中华人民共和国消防法》第三十一条:在农业收获季节、森林和草原防火期间、重大节假日期间以及火灾多发季节，地方各级人民政府应当组织开展有针对性的消防宣传教育，采取防火措施，进行消防安全检查。第五十二条第一款:地方各级人民政府应当落实消防工作责任制对本级人民政府有关部门履行消防安全职责的情况进行监督检查。</w:t>
            </w:r>
          </w:p>
        </w:tc>
      </w:tr>
      <w:tr w14:paraId="297A9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695" w:type="dxa"/>
            <w:noWrap w:val="0"/>
            <w:vAlign w:val="center"/>
          </w:tcPr>
          <w:p w14:paraId="0D1DC1CB">
            <w:pPr>
              <w:autoSpaceDE w:val="0"/>
              <w:autoSpaceDN w:val="0"/>
              <w:adjustRightInd w:val="0"/>
              <w:jc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5</w:t>
            </w:r>
          </w:p>
        </w:tc>
        <w:tc>
          <w:tcPr>
            <w:tcW w:w="1414" w:type="dxa"/>
            <w:noWrap w:val="0"/>
            <w:vAlign w:val="center"/>
          </w:tcPr>
          <w:p w14:paraId="0ACA5A05">
            <w:pPr>
              <w:autoSpaceDE w:val="0"/>
              <w:autoSpaceDN w:val="0"/>
              <w:adjustRightInd w:val="0"/>
              <w:jc w:val="left"/>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青龙镇人民政府</w:t>
            </w:r>
          </w:p>
        </w:tc>
        <w:tc>
          <w:tcPr>
            <w:tcW w:w="1511" w:type="dxa"/>
            <w:noWrap w:val="0"/>
            <w:vAlign w:val="center"/>
          </w:tcPr>
          <w:p w14:paraId="018CDF54">
            <w:pPr>
              <w:autoSpaceDE w:val="0"/>
              <w:autoSpaceDN w:val="0"/>
              <w:adjustRightInd w:val="0"/>
              <w:jc w:val="center"/>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协助做好本行政区域内食品小作坊、小餐饮、小食杂店和食品小摊贩的监督检查</w:t>
            </w:r>
          </w:p>
        </w:tc>
        <w:tc>
          <w:tcPr>
            <w:tcW w:w="1403" w:type="dxa"/>
            <w:noWrap w:val="0"/>
            <w:vAlign w:val="center"/>
          </w:tcPr>
          <w:p w14:paraId="119BC5BB">
            <w:pPr>
              <w:autoSpaceDE w:val="0"/>
              <w:autoSpaceDN w:val="0"/>
              <w:adjustRightInd w:val="0"/>
              <w:jc w:val="center"/>
              <w:rPr>
                <w:rFonts w:hint="eastAsia" w:ascii="仿宋_GB2312" w:hAnsi="仿宋_GB2312" w:eastAsia="仿宋_GB2312" w:cs="仿宋_GB2312"/>
                <w:color w:val="000000"/>
                <w:kern w:val="0"/>
                <w:sz w:val="21"/>
                <w:szCs w:val="21"/>
                <w:lang w:eastAsia="zh-CN"/>
              </w:rPr>
            </w:pPr>
            <w:r>
              <w:rPr>
                <w:rFonts w:hint="eastAsia" w:ascii="仿宋_GB2312" w:hAnsi="仿宋_GB2312" w:eastAsia="仿宋_GB2312" w:cs="仿宋_GB2312"/>
                <w:color w:val="000000"/>
                <w:kern w:val="0"/>
                <w:sz w:val="21"/>
                <w:szCs w:val="21"/>
                <w:lang w:eastAsia="zh-CN"/>
              </w:rPr>
              <w:t>行政检查</w:t>
            </w:r>
          </w:p>
        </w:tc>
        <w:tc>
          <w:tcPr>
            <w:tcW w:w="5409" w:type="dxa"/>
            <w:noWrap w:val="0"/>
            <w:vAlign w:val="center"/>
          </w:tcPr>
          <w:p w14:paraId="27A23F41">
            <w:pPr>
              <w:autoSpaceDE w:val="0"/>
              <w:autoSpaceDN w:val="0"/>
              <w:adjustRightInd w:val="0"/>
              <w:jc w:val="center"/>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《江西省食品小作坊小餐饮小食杂店小摊贩管理条例》第四条第三款</w:t>
            </w:r>
            <w:r>
              <w:rPr>
                <w:rFonts w:hint="eastAsia" w:ascii="仿宋_GB2312" w:hAnsi="仿宋_GB2312" w:eastAsia="仿宋_GB2312" w:cs="仿宋_GB2312"/>
                <w:color w:val="000000"/>
                <w:kern w:val="0"/>
                <w:sz w:val="21"/>
                <w:szCs w:val="21"/>
                <w:lang w:eastAsia="zh-CN"/>
              </w:rPr>
              <w:t>、</w:t>
            </w:r>
            <w:r>
              <w:rPr>
                <w:rFonts w:hint="eastAsia" w:ascii="仿宋_GB2312" w:hAnsi="仿宋_GB2312" w:eastAsia="仿宋_GB2312" w:cs="仿宋_GB2312"/>
                <w:color w:val="000000"/>
                <w:kern w:val="0"/>
                <w:sz w:val="21"/>
                <w:szCs w:val="21"/>
              </w:rPr>
              <w:t>第三十七条。</w:t>
            </w:r>
          </w:p>
        </w:tc>
      </w:tr>
      <w:tr w14:paraId="06598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695" w:type="dxa"/>
            <w:noWrap w:val="0"/>
            <w:vAlign w:val="center"/>
          </w:tcPr>
          <w:p w14:paraId="161A32AF">
            <w:pPr>
              <w:autoSpaceDE w:val="0"/>
              <w:autoSpaceDN w:val="0"/>
              <w:adjustRightInd w:val="0"/>
              <w:jc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6</w:t>
            </w:r>
          </w:p>
        </w:tc>
        <w:tc>
          <w:tcPr>
            <w:tcW w:w="1414" w:type="dxa"/>
            <w:noWrap w:val="0"/>
            <w:vAlign w:val="center"/>
          </w:tcPr>
          <w:p w14:paraId="683D692D">
            <w:pPr>
              <w:autoSpaceDE w:val="0"/>
              <w:autoSpaceDN w:val="0"/>
              <w:adjustRightInd w:val="0"/>
              <w:jc w:val="left"/>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青龙镇人民政府</w:t>
            </w:r>
          </w:p>
        </w:tc>
        <w:tc>
          <w:tcPr>
            <w:tcW w:w="1511" w:type="dxa"/>
            <w:noWrap w:val="0"/>
            <w:vAlign w:val="center"/>
          </w:tcPr>
          <w:p w14:paraId="7CC9392C">
            <w:pPr>
              <w:autoSpaceDE w:val="0"/>
              <w:autoSpaceDN w:val="0"/>
              <w:adjustRightInd w:val="0"/>
              <w:jc w:val="center"/>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对违反农村宅基地管理法律、法规的行为进行监督检查</w:t>
            </w:r>
          </w:p>
        </w:tc>
        <w:tc>
          <w:tcPr>
            <w:tcW w:w="1403" w:type="dxa"/>
            <w:noWrap w:val="0"/>
            <w:vAlign w:val="center"/>
          </w:tcPr>
          <w:p w14:paraId="301E0CA4">
            <w:pPr>
              <w:autoSpaceDE w:val="0"/>
              <w:autoSpaceDN w:val="0"/>
              <w:adjustRightInd w:val="0"/>
              <w:jc w:val="center"/>
              <w:rPr>
                <w:rFonts w:hint="eastAsia" w:ascii="仿宋_GB2312" w:hAnsi="仿宋_GB2312" w:eastAsia="仿宋_GB2312" w:cs="仿宋_GB2312"/>
                <w:color w:val="000000"/>
                <w:kern w:val="0"/>
                <w:sz w:val="21"/>
                <w:szCs w:val="21"/>
                <w:lang w:eastAsia="zh-CN"/>
              </w:rPr>
            </w:pPr>
            <w:r>
              <w:rPr>
                <w:rFonts w:hint="eastAsia" w:ascii="仿宋_GB2312" w:hAnsi="仿宋_GB2312" w:eastAsia="仿宋_GB2312" w:cs="仿宋_GB2312"/>
                <w:color w:val="000000"/>
                <w:kern w:val="0"/>
                <w:sz w:val="21"/>
                <w:szCs w:val="21"/>
                <w:lang w:eastAsia="zh-CN"/>
              </w:rPr>
              <w:t>行政检查</w:t>
            </w:r>
          </w:p>
        </w:tc>
        <w:tc>
          <w:tcPr>
            <w:tcW w:w="5409" w:type="dxa"/>
            <w:noWrap w:val="0"/>
            <w:vAlign w:val="center"/>
          </w:tcPr>
          <w:p w14:paraId="0DF838EE">
            <w:pPr>
              <w:autoSpaceDE w:val="0"/>
              <w:autoSpaceDN w:val="0"/>
              <w:adjustRightInd w:val="0"/>
              <w:jc w:val="both"/>
              <w:rPr>
                <w:rFonts w:hint="eastAsia" w:ascii="仿宋_GB2312" w:hAnsi="仿宋_GB2312" w:eastAsia="仿宋_GB2312" w:cs="仿宋_GB2312"/>
                <w:color w:val="000000"/>
                <w:kern w:val="0"/>
                <w:sz w:val="21"/>
                <w:szCs w:val="21"/>
                <w:lang w:eastAsia="zh-CN"/>
              </w:rPr>
            </w:pPr>
            <w:r>
              <w:rPr>
                <w:rFonts w:hint="eastAsia" w:ascii="仿宋_GB2312" w:hAnsi="仿宋_GB2312" w:eastAsia="仿宋_GB2312" w:cs="仿宋_GB2312"/>
                <w:color w:val="000000"/>
                <w:kern w:val="0"/>
                <w:sz w:val="21"/>
                <w:szCs w:val="21"/>
              </w:rPr>
              <w:t>《中华人民共和国土地管理法》第三条</w:t>
            </w:r>
            <w:r>
              <w:rPr>
                <w:rFonts w:hint="eastAsia" w:ascii="仿宋_GB2312" w:hAnsi="仿宋_GB2312" w:eastAsia="仿宋_GB2312" w:cs="仿宋_GB2312"/>
                <w:color w:val="000000"/>
                <w:kern w:val="0"/>
                <w:sz w:val="21"/>
                <w:szCs w:val="21"/>
                <w:lang w:eastAsia="zh-CN"/>
              </w:rPr>
              <w:t>、</w:t>
            </w:r>
            <w:r>
              <w:rPr>
                <w:rFonts w:hint="eastAsia" w:ascii="仿宋_GB2312" w:hAnsi="仿宋_GB2312" w:eastAsia="仿宋_GB2312" w:cs="仿宋_GB2312"/>
                <w:color w:val="000000"/>
                <w:kern w:val="0"/>
                <w:sz w:val="21"/>
                <w:szCs w:val="21"/>
              </w:rPr>
              <w:t>第六十二条</w:t>
            </w:r>
            <w:r>
              <w:rPr>
                <w:rFonts w:hint="eastAsia" w:ascii="仿宋_GB2312" w:hAnsi="仿宋_GB2312" w:eastAsia="仿宋_GB2312" w:cs="仿宋_GB2312"/>
                <w:color w:val="000000"/>
                <w:kern w:val="0"/>
                <w:sz w:val="21"/>
                <w:szCs w:val="21"/>
                <w:lang w:eastAsia="zh-CN"/>
              </w:rPr>
              <w:t>，</w:t>
            </w:r>
            <w:r>
              <w:rPr>
                <w:rFonts w:hint="eastAsia" w:ascii="仿宋_GB2312" w:hAnsi="仿宋_GB2312" w:eastAsia="仿宋_GB2312" w:cs="仿宋_GB2312"/>
                <w:color w:val="000000"/>
                <w:kern w:val="0"/>
                <w:sz w:val="21"/>
                <w:szCs w:val="21"/>
              </w:rPr>
              <w:t>《中华人民共和国城乡规划法》第六十五条</w:t>
            </w:r>
            <w:r>
              <w:rPr>
                <w:rFonts w:hint="eastAsia" w:ascii="仿宋_GB2312" w:hAnsi="仿宋_GB2312" w:eastAsia="仿宋_GB2312" w:cs="仿宋_GB2312"/>
                <w:color w:val="000000"/>
                <w:kern w:val="0"/>
                <w:sz w:val="21"/>
                <w:szCs w:val="21"/>
                <w:lang w:eastAsia="zh-CN"/>
              </w:rPr>
              <w:t>。</w:t>
            </w:r>
          </w:p>
          <w:p w14:paraId="104B6260">
            <w:pPr>
              <w:autoSpaceDE w:val="0"/>
              <w:autoSpaceDN w:val="0"/>
              <w:adjustRightInd w:val="0"/>
              <w:jc w:val="center"/>
              <w:rPr>
                <w:rFonts w:hint="eastAsia" w:ascii="仿宋_GB2312" w:hAnsi="仿宋_GB2312" w:eastAsia="仿宋_GB2312" w:cs="仿宋_GB2312"/>
                <w:color w:val="000000"/>
                <w:kern w:val="0"/>
                <w:sz w:val="21"/>
                <w:szCs w:val="21"/>
              </w:rPr>
            </w:pPr>
          </w:p>
        </w:tc>
      </w:tr>
    </w:tbl>
    <w:p w14:paraId="569512A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774367"/>
    <w:rsid w:val="60774367"/>
    <w:rsid w:val="7D0C5D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eastAsia="仿宋"/>
      <w:sz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2025-05-29T01:19:00Z</dcterms:created>
  <dc:creator>叶</dc:creator>
  <cp:lastModifiedBy>叶</cp:lastModifiedBy>
  <dcterms:modified xsi:type="dcterms:W3CDTF">2025-05-29T01:19:44Z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41B686B342204B02BDC7A7545AFC35C4_11</vt:lpwstr>
  </property>
  <property fmtid="{D5CDD505-2E9C-101B-9397-08002B2CF9AE}" pid="4" name="KSOTemplateDocerSaveRecord">
    <vt:lpwstr>eyJoZGlkIjoiYzk3NGM4NTZmNGQ4MmU5NWU5YzZhMzQ4ZDYyYmY5YTQiLCJ1c2VySWQiOiI1ODgyMTc2NTYifQ==</vt:lpwstr>
  </property>
</Properties>
</file>