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1325E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关于大余县2024年国民经济和社会发展</w:t>
      </w:r>
    </w:p>
    <w:p w14:paraId="19DF985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计划执行情况与2025年国民经济和</w:t>
      </w:r>
    </w:p>
    <w:p w14:paraId="7050099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社会发展计划草案的报告（书面）</w:t>
      </w:r>
    </w:p>
    <w:p w14:paraId="4CCA4ED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_GB2312" w:hAnsi="楷体_GB2312" w:eastAsia="楷体_GB2312" w:cs="楷体_GB2312"/>
          <w:b w:val="0"/>
          <w:bCs w:val="0"/>
          <w:color w:val="auto"/>
          <w:sz w:val="32"/>
          <w:szCs w:val="32"/>
        </w:rPr>
      </w:pPr>
      <w:r>
        <w:rPr>
          <w:rFonts w:hint="eastAsia" w:ascii="楷体_GB2312" w:hAnsi="楷体_GB2312" w:eastAsia="楷体_GB2312" w:cs="楷体_GB2312"/>
          <w:b w:val="0"/>
          <w:bCs w:val="0"/>
          <w:color w:val="auto"/>
          <w:sz w:val="32"/>
          <w:szCs w:val="32"/>
        </w:rPr>
        <w:t>——2025年1月</w:t>
      </w:r>
      <w:r>
        <w:rPr>
          <w:rFonts w:hint="eastAsia" w:ascii="楷体_GB2312" w:hAnsi="楷体_GB2312" w:eastAsia="楷体_GB2312" w:cs="楷体_GB2312"/>
          <w:b w:val="0"/>
          <w:bCs w:val="0"/>
          <w:color w:val="auto"/>
          <w:sz w:val="32"/>
          <w:szCs w:val="32"/>
          <w:lang w:val="en-US" w:eastAsia="zh-CN"/>
        </w:rPr>
        <w:t>7</w:t>
      </w:r>
      <w:r>
        <w:rPr>
          <w:rFonts w:hint="eastAsia" w:ascii="楷体_GB2312" w:hAnsi="楷体_GB2312" w:eastAsia="楷体_GB2312" w:cs="楷体_GB2312"/>
          <w:b w:val="0"/>
          <w:bCs w:val="0"/>
          <w:color w:val="auto"/>
          <w:sz w:val="32"/>
          <w:szCs w:val="32"/>
        </w:rPr>
        <w:t>日在大余县第十九届人民代表大会</w:t>
      </w:r>
    </w:p>
    <w:p w14:paraId="460795A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_GB2312" w:hAnsi="楷体_GB2312" w:eastAsia="楷体_GB2312" w:cs="楷体_GB2312"/>
          <w:b w:val="0"/>
          <w:bCs w:val="0"/>
          <w:color w:val="auto"/>
          <w:sz w:val="32"/>
          <w:szCs w:val="32"/>
        </w:rPr>
      </w:pPr>
      <w:r>
        <w:rPr>
          <w:rFonts w:hint="eastAsia" w:ascii="楷体_GB2312" w:hAnsi="楷体_GB2312" w:eastAsia="楷体_GB2312" w:cs="楷体_GB2312"/>
          <w:b w:val="0"/>
          <w:bCs w:val="0"/>
          <w:color w:val="auto"/>
          <w:sz w:val="32"/>
          <w:szCs w:val="32"/>
        </w:rPr>
        <w:t>第五次会议上</w:t>
      </w:r>
    </w:p>
    <w:p w14:paraId="643ED5C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_GB2312" w:hAnsi="楷体_GB2312" w:eastAsia="楷体_GB2312" w:cs="楷体_GB2312"/>
          <w:b w:val="0"/>
          <w:bCs w:val="0"/>
          <w:color w:val="auto"/>
          <w:sz w:val="32"/>
          <w:szCs w:val="32"/>
        </w:rPr>
      </w:pPr>
      <w:r>
        <w:rPr>
          <w:rFonts w:hint="eastAsia" w:ascii="楷体_GB2312" w:hAnsi="楷体_GB2312" w:eastAsia="楷体_GB2312" w:cs="楷体_GB2312"/>
          <w:b w:val="0"/>
          <w:bCs w:val="0"/>
          <w:color w:val="auto"/>
          <w:sz w:val="32"/>
          <w:szCs w:val="32"/>
        </w:rPr>
        <w:t>县发展和改革委员会主任 陈龙</w:t>
      </w:r>
    </w:p>
    <w:p w14:paraId="336C443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color w:val="auto"/>
        </w:rPr>
      </w:pPr>
    </w:p>
    <w:p w14:paraId="6F115FC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各位代表：</w:t>
      </w:r>
    </w:p>
    <w:p w14:paraId="580977D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受县人民政府委托，我向大会书面报告全县2024年国民经济和社会发展计划执行情况与2025年国民经济和社会发展计划草案，请予审议，并请各位政协委员和其他列席会议同志提出意见。</w:t>
      </w:r>
    </w:p>
    <w:p w14:paraId="0BF1CCE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一、2024年全县国民经济和社会发展计划执行情况</w:t>
      </w:r>
    </w:p>
    <w:p w14:paraId="0E53749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2024年，在市委、市政府和县委、县政府的坚强领导下，全县上下坚持以习近平新时代中国特色社会主义思想为指导，全面贯彻党的二十届三中全会精神</w:t>
      </w:r>
      <w:r>
        <w:rPr>
          <w:rFonts w:hint="eastAsia" w:ascii="仿宋_GB2312" w:hAnsi="仿宋_GB2312" w:eastAsia="仿宋_GB2312" w:cs="仿宋_GB2312"/>
          <w:color w:val="auto"/>
          <w:sz w:val="32"/>
          <w:szCs w:val="32"/>
          <w:lang w:eastAsia="zh-CN"/>
        </w:rPr>
        <w:t>和</w:t>
      </w:r>
      <w:r>
        <w:rPr>
          <w:rFonts w:hint="eastAsia" w:ascii="仿宋_GB2312" w:hAnsi="仿宋_GB2312" w:eastAsia="仿宋_GB2312" w:cs="仿宋_GB2312"/>
          <w:color w:val="auto"/>
          <w:sz w:val="32"/>
          <w:szCs w:val="32"/>
        </w:rPr>
        <w:t>习近平总书记考察江西重要讲话精神，聚焦“走在前、勇争先、善作为”</w:t>
      </w:r>
      <w:r>
        <w:rPr>
          <w:rFonts w:hint="eastAsia" w:ascii="仿宋_GB2312" w:hAnsi="仿宋_GB2312" w:eastAsia="仿宋_GB2312" w:cs="仿宋_GB2312"/>
          <w:color w:val="auto"/>
          <w:sz w:val="32"/>
          <w:szCs w:val="32"/>
          <w:lang w:eastAsia="zh-CN"/>
        </w:rPr>
        <w:t>的</w:t>
      </w:r>
      <w:r>
        <w:rPr>
          <w:rFonts w:hint="eastAsia" w:ascii="仿宋_GB2312" w:hAnsi="仿宋_GB2312" w:eastAsia="仿宋_GB2312" w:cs="仿宋_GB2312"/>
          <w:color w:val="auto"/>
          <w:sz w:val="32"/>
          <w:szCs w:val="32"/>
        </w:rPr>
        <w:t>目标要求，围绕省委打造“三大高地”、实施“五大战略”和市委“三大战略、八大行动”</w:t>
      </w:r>
      <w:r>
        <w:rPr>
          <w:rFonts w:hint="eastAsia" w:ascii="仿宋_GB2312" w:hAnsi="仿宋_GB2312" w:eastAsia="仿宋_GB2312" w:cs="仿宋_GB2312"/>
          <w:color w:val="auto"/>
          <w:sz w:val="32"/>
          <w:szCs w:val="32"/>
          <w:lang w:eastAsia="zh-CN"/>
        </w:rPr>
        <w:t>的</w:t>
      </w:r>
      <w:r>
        <w:rPr>
          <w:rFonts w:hint="eastAsia" w:ascii="仿宋_GB2312" w:hAnsi="仿宋_GB2312" w:eastAsia="仿宋_GB2312" w:cs="仿宋_GB2312"/>
          <w:color w:val="auto"/>
          <w:sz w:val="32"/>
          <w:szCs w:val="32"/>
          <w:lang w:val="en-US" w:eastAsia="zh-CN"/>
        </w:rPr>
        <w:t>重要要求</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坚持高质量跨越式发展这条主线，</w:t>
      </w:r>
      <w:r>
        <w:rPr>
          <w:rFonts w:hint="eastAsia" w:ascii="仿宋_GB2312" w:hAnsi="仿宋_GB2312" w:eastAsia="仿宋_GB2312" w:cs="仿宋_GB2312"/>
          <w:color w:val="auto"/>
          <w:sz w:val="32"/>
          <w:szCs w:val="32"/>
          <w:lang w:val="en-US" w:eastAsia="zh-CN"/>
        </w:rPr>
        <w:t>按照县委</w:t>
      </w:r>
      <w:r>
        <w:rPr>
          <w:rFonts w:hint="eastAsia" w:ascii="仿宋_GB2312" w:hAnsi="仿宋_GB2312" w:eastAsia="仿宋_GB2312" w:cs="仿宋_GB2312"/>
          <w:color w:val="auto"/>
          <w:sz w:val="32"/>
          <w:szCs w:val="32"/>
          <w:lang w:eastAsia="zh-CN"/>
        </w:rPr>
        <w:t>建设“五个基地”、实现“六个主要目标”的</w:t>
      </w:r>
      <w:r>
        <w:rPr>
          <w:rFonts w:hint="eastAsia" w:ascii="仿宋_GB2312" w:hAnsi="仿宋_GB2312" w:eastAsia="仿宋_GB2312" w:cs="仿宋_GB2312"/>
          <w:color w:val="auto"/>
          <w:sz w:val="32"/>
          <w:szCs w:val="32"/>
          <w:lang w:val="en-US" w:eastAsia="zh-CN"/>
        </w:rPr>
        <w:t>决策部署</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全县各项事业取得</w:t>
      </w:r>
      <w:r>
        <w:rPr>
          <w:rFonts w:hint="eastAsia" w:ascii="仿宋_GB2312" w:hAnsi="仿宋_GB2312" w:eastAsia="仿宋_GB2312" w:cs="仿宋_GB2312"/>
          <w:color w:val="auto"/>
          <w:sz w:val="32"/>
          <w:szCs w:val="32"/>
          <w:lang w:eastAsia="zh-CN"/>
        </w:rPr>
        <w:t>显著</w:t>
      </w:r>
      <w:r>
        <w:rPr>
          <w:rFonts w:hint="eastAsia" w:ascii="仿宋_GB2312" w:hAnsi="仿宋_GB2312" w:eastAsia="仿宋_GB2312" w:cs="仿宋_GB2312"/>
          <w:color w:val="auto"/>
          <w:sz w:val="32"/>
          <w:szCs w:val="32"/>
        </w:rPr>
        <w:t>成效，</w:t>
      </w:r>
      <w:r>
        <w:rPr>
          <w:rFonts w:hint="eastAsia" w:ascii="仿宋_GB2312" w:hAnsi="仿宋_GB2312" w:eastAsia="仿宋_GB2312" w:cs="仿宋_GB2312"/>
          <w:color w:val="auto"/>
          <w:sz w:val="32"/>
          <w:szCs w:val="32"/>
          <w:lang w:val="en-US" w:eastAsia="zh-CN"/>
        </w:rPr>
        <w:t>中国式</w:t>
      </w:r>
      <w:r>
        <w:rPr>
          <w:rFonts w:hint="eastAsia" w:ascii="仿宋_GB2312" w:hAnsi="仿宋_GB2312" w:eastAsia="仿宋_GB2312" w:cs="仿宋_GB2312"/>
          <w:color w:val="auto"/>
          <w:sz w:val="32"/>
          <w:szCs w:val="32"/>
        </w:rPr>
        <w:t>现代化大余建设迈出坚实步伐。</w:t>
      </w:r>
    </w:p>
    <w:p w14:paraId="7844002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预计全县地区生产总值完成141.6亿元，增长4%左右；</w:t>
      </w:r>
      <w:r>
        <w:rPr>
          <w:rFonts w:hint="eastAsia" w:ascii="仿宋_GB2312" w:hAnsi="仿宋_GB2312" w:eastAsia="仿宋_GB2312" w:cs="仿宋_GB2312"/>
          <w:color w:val="auto"/>
          <w:sz w:val="32"/>
          <w:szCs w:val="32"/>
        </w:rPr>
        <w:t>一般公共预算收入增长</w:t>
      </w:r>
      <w:r>
        <w:rPr>
          <w:rFonts w:hint="eastAsia" w:ascii="仿宋_GB2312" w:hAnsi="仿宋_GB2312" w:eastAsia="仿宋_GB2312" w:cs="仿宋_GB2312"/>
          <w:color w:val="auto"/>
          <w:sz w:val="32"/>
          <w:szCs w:val="32"/>
          <w:lang w:val="en-US" w:eastAsia="zh-CN"/>
        </w:rPr>
        <w:t>2.9</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左右</w:t>
      </w:r>
      <w:r>
        <w:rPr>
          <w:rFonts w:hint="eastAsia" w:ascii="仿宋_GB2312" w:hAnsi="仿宋_GB2312" w:eastAsia="仿宋_GB2312" w:cs="仿宋_GB2312"/>
          <w:color w:val="auto"/>
          <w:sz w:val="32"/>
          <w:szCs w:val="32"/>
        </w:rPr>
        <w:t>，首次突破10亿</w:t>
      </w:r>
      <w:r>
        <w:rPr>
          <w:rFonts w:hint="eastAsia" w:ascii="仿宋_GB2312" w:hAnsi="仿宋_GB2312" w:eastAsia="仿宋_GB2312" w:cs="仿宋_GB2312"/>
          <w:color w:val="auto"/>
          <w:sz w:val="32"/>
          <w:szCs w:val="32"/>
          <w:lang w:val="en-US" w:eastAsia="zh-CN"/>
        </w:rPr>
        <w:t>元</w:t>
      </w:r>
      <w:r>
        <w:rPr>
          <w:rFonts w:hint="eastAsia" w:ascii="仿宋_GB2312" w:hAnsi="仿宋_GB2312" w:eastAsia="仿宋_GB2312" w:cs="仿宋_GB2312"/>
          <w:color w:val="auto"/>
          <w:sz w:val="32"/>
          <w:szCs w:val="32"/>
        </w:rPr>
        <w:t>大关；规模以上工业增加值增长</w:t>
      </w:r>
      <w:r>
        <w:rPr>
          <w:rFonts w:hint="eastAsia" w:ascii="仿宋_GB2312" w:hAnsi="仿宋_GB2312" w:eastAsia="仿宋_GB2312" w:cs="仿宋_GB2312"/>
          <w:color w:val="auto"/>
          <w:sz w:val="32"/>
          <w:szCs w:val="32"/>
          <w:lang w:val="en-US" w:eastAsia="zh-CN"/>
        </w:rPr>
        <w:t>1.5</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左右；</w:t>
      </w:r>
      <w:r>
        <w:rPr>
          <w:rFonts w:hint="eastAsia" w:ascii="仿宋_GB2312" w:hAnsi="仿宋_GB2312" w:eastAsia="仿宋_GB2312" w:cs="仿宋_GB2312"/>
          <w:color w:val="auto"/>
          <w:sz w:val="32"/>
          <w:szCs w:val="32"/>
        </w:rPr>
        <w:t>固定资产投资增长</w:t>
      </w:r>
      <w:r>
        <w:rPr>
          <w:rFonts w:hint="eastAsia" w:ascii="仿宋_GB2312" w:hAnsi="仿宋_GB2312" w:eastAsia="仿宋_GB2312" w:cs="仿宋_GB2312"/>
          <w:color w:val="auto"/>
          <w:sz w:val="32"/>
          <w:szCs w:val="32"/>
          <w:lang w:val="en-US" w:eastAsia="zh-CN"/>
        </w:rPr>
        <w:t>5.6</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左右；</w:t>
      </w:r>
      <w:r>
        <w:rPr>
          <w:rFonts w:hint="eastAsia" w:ascii="仿宋_GB2312" w:hAnsi="仿宋_GB2312" w:eastAsia="仿宋_GB2312" w:cs="仿宋_GB2312"/>
          <w:color w:val="auto"/>
          <w:sz w:val="32"/>
          <w:szCs w:val="32"/>
        </w:rPr>
        <w:t>利用省外2000万元以上项目资金增长5.2%左右</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社会消费品零售总额增长6.5%左右</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进出口总额增长31.</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%左右</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城镇、农村居民人均可支配收入分别增长</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左右</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从计划执行情况看，</w:t>
      </w:r>
      <w:r>
        <w:rPr>
          <w:rFonts w:hint="eastAsia" w:ascii="宋体" w:hAnsi="宋体" w:eastAsia="仿宋_GB2312" w:cs="仿宋_GB2312"/>
          <w:color w:val="auto"/>
          <w:sz w:val="32"/>
          <w:szCs w:val="32"/>
          <w:highlight w:val="none"/>
        </w:rPr>
        <w:t>面对复杂严峻的外部环境和多重超预期困难挑战</w:t>
      </w:r>
      <w:r>
        <w:rPr>
          <w:rFonts w:hint="eastAsia" w:ascii="宋体" w:hAnsi="宋体"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rPr>
        <w:t>全县经济运行顶住压力迎难而上</w:t>
      </w:r>
      <w:r>
        <w:rPr>
          <w:rFonts w:hint="eastAsia" w:ascii="仿宋_GB2312" w:hAnsi="仿宋_GB2312" w:eastAsia="仿宋_GB2312" w:cs="仿宋_GB2312"/>
          <w:color w:val="auto"/>
          <w:sz w:val="32"/>
          <w:szCs w:val="32"/>
          <w:lang w:eastAsia="zh-CN"/>
        </w:rPr>
        <w:t>，各项主要经济指标逐季回暖、</w:t>
      </w:r>
      <w:r>
        <w:rPr>
          <w:rFonts w:hint="eastAsia" w:ascii="仿宋_GB2312" w:hAnsi="仿宋_GB2312" w:eastAsia="仿宋_GB2312" w:cs="仿宋_GB2312"/>
          <w:color w:val="auto"/>
          <w:sz w:val="32"/>
          <w:szCs w:val="32"/>
        </w:rPr>
        <w:t>回升向好，</w:t>
      </w:r>
      <w:r>
        <w:rPr>
          <w:rFonts w:hint="eastAsia" w:ascii="仿宋_GB2312" w:hAnsi="仿宋_GB2312" w:eastAsia="仿宋_GB2312" w:cs="仿宋_GB2312"/>
          <w:color w:val="auto"/>
          <w:sz w:val="32"/>
          <w:szCs w:val="32"/>
          <w:lang w:eastAsia="zh-CN"/>
        </w:rPr>
        <w:t>总体呈现“前低、中进、后稳”态势，</w:t>
      </w:r>
      <w:r>
        <w:rPr>
          <w:rFonts w:hint="eastAsia" w:ascii="仿宋_GB2312" w:hAnsi="仿宋_GB2312" w:eastAsia="仿宋_GB2312" w:cs="仿宋_GB2312"/>
          <w:color w:val="auto"/>
          <w:sz w:val="32"/>
          <w:szCs w:val="32"/>
        </w:rPr>
        <w:t>社会大局保持和谐稳定，发展质量和效益稳步提升。经济社会发展成效主要体现在以下</w:t>
      </w:r>
      <w:r>
        <w:rPr>
          <w:rFonts w:hint="eastAsia" w:ascii="仿宋_GB2312" w:hAnsi="仿宋_GB2312" w:eastAsia="仿宋_GB2312" w:cs="仿宋_GB2312"/>
          <w:color w:val="auto"/>
          <w:sz w:val="32"/>
          <w:szCs w:val="32"/>
          <w:lang w:val="en-US" w:eastAsia="zh-CN"/>
        </w:rPr>
        <w:t>五</w:t>
      </w:r>
      <w:r>
        <w:rPr>
          <w:rFonts w:hint="eastAsia" w:ascii="仿宋_GB2312" w:hAnsi="仿宋_GB2312" w:eastAsia="仿宋_GB2312" w:cs="仿宋_GB2312"/>
          <w:color w:val="auto"/>
          <w:sz w:val="32"/>
          <w:szCs w:val="32"/>
        </w:rPr>
        <w:t>个方面：</w:t>
      </w:r>
    </w:p>
    <w:p w14:paraId="1453E457">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color w:val="auto"/>
          <w:sz w:val="32"/>
          <w:szCs w:val="32"/>
          <w:lang w:eastAsia="zh-CN"/>
        </w:rPr>
      </w:pPr>
      <w:r>
        <w:rPr>
          <w:rFonts w:hint="eastAsia" w:ascii="楷体_GB2312" w:hAnsi="楷体_GB2312" w:eastAsia="楷体_GB2312" w:cs="楷体_GB2312"/>
          <w:b/>
          <w:bCs/>
          <w:color w:val="auto"/>
          <w:sz w:val="32"/>
          <w:szCs w:val="32"/>
        </w:rPr>
        <w:t>（一）聚焦产业优化调整，转型升级步伐加快</w:t>
      </w:r>
    </w:p>
    <w:p w14:paraId="4048333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b/>
          <w:bCs/>
          <w:color w:val="auto"/>
          <w:sz w:val="32"/>
          <w:szCs w:val="32"/>
        </w:rPr>
        <w:t>一是农业基础更加扎实。</w:t>
      </w:r>
      <w:r>
        <w:rPr>
          <w:rFonts w:hint="eastAsia" w:ascii="仿宋_GB2312" w:hAnsi="仿宋_GB2312" w:eastAsia="仿宋_GB2312" w:cs="仿宋_GB2312"/>
          <w:color w:val="auto"/>
          <w:sz w:val="32"/>
          <w:szCs w:val="32"/>
          <w:lang w:eastAsia="zh-CN"/>
        </w:rPr>
        <w:t>高标准农田改造提升项目</w:t>
      </w:r>
      <w:r>
        <w:rPr>
          <w:rFonts w:hint="eastAsia" w:ascii="仿宋_GB2312" w:hAnsi="仿宋_GB2312" w:eastAsia="仿宋_GB2312" w:cs="仿宋_GB2312"/>
          <w:color w:val="auto"/>
          <w:sz w:val="32"/>
          <w:szCs w:val="32"/>
          <w:lang w:val="en-US" w:eastAsia="zh-CN"/>
        </w:rPr>
        <w:t>建成</w:t>
      </w:r>
      <w:r>
        <w:rPr>
          <w:rFonts w:hint="eastAsia" w:ascii="仿宋_GB2312" w:hAnsi="仿宋_GB2312" w:eastAsia="仿宋_GB2312" w:cs="仿宋_GB2312"/>
          <w:color w:val="auto"/>
          <w:sz w:val="32"/>
          <w:szCs w:val="32"/>
          <w:lang w:eastAsia="zh-CN"/>
        </w:rPr>
        <w:t>完工</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b w:val="0"/>
          <w:bCs w:val="0"/>
          <w:color w:val="auto"/>
          <w:sz w:val="32"/>
          <w:szCs w:val="32"/>
          <w:lang w:val="en-US" w:eastAsia="zh-CN"/>
        </w:rPr>
        <w:t>全县</w:t>
      </w:r>
      <w:r>
        <w:rPr>
          <w:rFonts w:hint="eastAsia" w:ascii="仿宋_GB2312" w:hAnsi="仿宋_GB2312" w:eastAsia="仿宋_GB2312" w:cs="仿宋_GB2312"/>
          <w:b w:val="0"/>
          <w:bCs w:val="0"/>
          <w:color w:val="auto"/>
          <w:kern w:val="2"/>
          <w:sz w:val="32"/>
          <w:szCs w:val="32"/>
          <w:lang w:val="en-US" w:eastAsia="zh-CN" w:bidi="ar-SA"/>
        </w:rPr>
        <w:t>农业生产“大托管”</w:t>
      </w:r>
      <w:r>
        <w:rPr>
          <w:rFonts w:hint="eastAsia" w:ascii="仿宋_GB2312" w:hAnsi="仿宋_GB2312" w:eastAsia="仿宋_GB2312" w:cs="仿宋_GB2312"/>
          <w:b w:val="0"/>
          <w:bCs w:val="0"/>
          <w:color w:val="auto"/>
          <w:sz w:val="32"/>
          <w:szCs w:val="32"/>
          <w:lang w:val="en-US" w:eastAsia="zh-CN"/>
        </w:rPr>
        <w:t>服务面积达3.85万亩，</w:t>
      </w:r>
      <w:r>
        <w:rPr>
          <w:rFonts w:hint="eastAsia" w:ascii="仿宋_GB2312" w:hAnsi="仿宋_GB2312" w:eastAsia="仿宋_GB2312" w:cs="仿宋_GB2312"/>
          <w:color w:val="auto"/>
          <w:sz w:val="32"/>
          <w:szCs w:val="32"/>
        </w:rPr>
        <w:t>早</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中、晚</w:t>
      </w:r>
      <w:r>
        <w:rPr>
          <w:rFonts w:hint="eastAsia" w:ascii="仿宋_GB2312" w:hAnsi="仿宋_GB2312" w:eastAsia="仿宋_GB2312" w:cs="仿宋_GB2312"/>
          <w:color w:val="auto"/>
          <w:sz w:val="32"/>
          <w:szCs w:val="32"/>
        </w:rPr>
        <w:t>稻</w:t>
      </w:r>
      <w:r>
        <w:rPr>
          <w:rFonts w:hint="eastAsia" w:ascii="仿宋_GB2312" w:hAnsi="仿宋_GB2312" w:eastAsia="仿宋_GB2312" w:cs="仿宋_GB2312"/>
          <w:color w:val="auto"/>
          <w:sz w:val="32"/>
          <w:szCs w:val="32"/>
          <w:lang w:val="en-US" w:eastAsia="zh-CN"/>
        </w:rPr>
        <w:t>生产任务</w:t>
      </w:r>
      <w:r>
        <w:rPr>
          <w:rFonts w:hint="eastAsia" w:ascii="仿宋_GB2312" w:hAnsi="仿宋_GB2312" w:eastAsia="仿宋_GB2312" w:cs="仿宋_GB2312"/>
          <w:b w:val="0"/>
          <w:bCs w:val="0"/>
          <w:color w:val="auto"/>
          <w:sz w:val="32"/>
          <w:szCs w:val="32"/>
          <w:lang w:val="en-US" w:eastAsia="zh-CN"/>
        </w:rPr>
        <w:t>全面完成</w:t>
      </w:r>
      <w:r>
        <w:rPr>
          <w:rFonts w:hint="eastAsia" w:ascii="仿宋_GB2312" w:hAnsi="仿宋_GB2312" w:eastAsia="仿宋_GB2312" w:cs="仿宋_GB2312"/>
          <w:color w:val="auto"/>
          <w:sz w:val="32"/>
          <w:szCs w:val="32"/>
          <w:lang w:eastAsia="zh-CN"/>
        </w:rPr>
        <w:t>。深入实施“头雁引航、雏鹰振飞”行动，培育规模以上龙头企业19家、超亿元企业</w:t>
      </w:r>
      <w:r>
        <w:rPr>
          <w:rFonts w:hint="eastAsia" w:ascii="仿宋_GB2312" w:hAnsi="仿宋_GB2312" w:eastAsia="仿宋_GB2312" w:cs="仿宋_GB2312"/>
          <w:color w:val="auto"/>
          <w:sz w:val="32"/>
          <w:szCs w:val="32"/>
          <w:lang w:val="en-US" w:eastAsia="zh-CN"/>
        </w:rPr>
        <w:t>6家，</w:t>
      </w:r>
      <w:r>
        <w:rPr>
          <w:rFonts w:hint="eastAsia" w:ascii="仿宋_GB2312" w:hAnsi="仿宋_GB2312" w:eastAsia="仿宋_GB2312" w:cs="仿宋_GB2312"/>
          <w:color w:val="auto"/>
          <w:sz w:val="32"/>
          <w:szCs w:val="32"/>
          <w:lang w:eastAsia="zh-CN"/>
        </w:rPr>
        <w:t>发展新型农业经营主体</w:t>
      </w:r>
      <w:r>
        <w:rPr>
          <w:rFonts w:hint="eastAsia" w:ascii="仿宋_GB2312" w:hAnsi="仿宋_GB2312" w:eastAsia="仿宋_GB2312" w:cs="仿宋_GB2312"/>
          <w:color w:val="auto"/>
          <w:sz w:val="32"/>
          <w:szCs w:val="32"/>
          <w:lang w:val="en-US" w:eastAsia="zh-CN"/>
        </w:rPr>
        <w:t>788</w:t>
      </w:r>
      <w:r>
        <w:rPr>
          <w:rFonts w:hint="eastAsia" w:ascii="仿宋_GB2312" w:hAnsi="仿宋_GB2312" w:eastAsia="仿宋_GB2312" w:cs="仿宋_GB2312"/>
          <w:color w:val="auto"/>
          <w:sz w:val="32"/>
          <w:szCs w:val="32"/>
          <w:lang w:eastAsia="zh-CN"/>
        </w:rPr>
        <w:t>个，</w:t>
      </w:r>
      <w:r>
        <w:rPr>
          <w:rFonts w:hint="eastAsia" w:ascii="仿宋_GB2312" w:hAnsi="仿宋_GB2312" w:eastAsia="仿宋_GB2312" w:cs="仿宋_GB2312"/>
          <w:color w:val="auto"/>
          <w:sz w:val="32"/>
          <w:szCs w:val="32"/>
          <w:lang w:val="en-US" w:eastAsia="zh-CN"/>
        </w:rPr>
        <w:t>马蹄山专业合作社入选国家级示范社，</w:t>
      </w:r>
      <w:r>
        <w:rPr>
          <w:rFonts w:hint="eastAsia" w:ascii="仿宋_GB2312" w:hAnsi="仿宋_GB2312" w:eastAsia="仿宋_GB2312" w:cs="仿宋_GB2312"/>
          <w:color w:val="auto"/>
          <w:sz w:val="32"/>
          <w:szCs w:val="32"/>
          <w:lang w:eastAsia="zh-CN"/>
        </w:rPr>
        <w:t>累计认证“三品一标”农产品</w:t>
      </w:r>
      <w:r>
        <w:rPr>
          <w:rFonts w:hint="eastAsia" w:ascii="仿宋_GB2312" w:hAnsi="仿宋_GB2312" w:eastAsia="仿宋_GB2312" w:cs="仿宋_GB2312"/>
          <w:color w:val="auto"/>
          <w:sz w:val="32"/>
          <w:szCs w:val="32"/>
          <w:lang w:val="en-US" w:eastAsia="zh-CN"/>
        </w:rPr>
        <w:t>81</w:t>
      </w:r>
      <w:r>
        <w:rPr>
          <w:rFonts w:hint="eastAsia" w:ascii="仿宋_GB2312" w:hAnsi="仿宋_GB2312" w:eastAsia="仿宋_GB2312" w:cs="仿宋_GB2312"/>
          <w:color w:val="auto"/>
          <w:sz w:val="32"/>
          <w:szCs w:val="32"/>
          <w:lang w:eastAsia="zh-CN"/>
        </w:rPr>
        <w:t>个，全国名特优新农产品5个。优势产业持续</w:t>
      </w:r>
      <w:r>
        <w:rPr>
          <w:rFonts w:hint="eastAsia" w:ascii="仿宋_GB2312" w:hAnsi="仿宋_GB2312" w:eastAsia="仿宋_GB2312" w:cs="仿宋_GB2312"/>
          <w:color w:val="auto"/>
          <w:sz w:val="32"/>
          <w:szCs w:val="32"/>
          <w:lang w:val="en-US" w:eastAsia="zh-CN"/>
        </w:rPr>
        <w:t>壮大，“赣南早虾双季稻”综合种养模式入选江西省联农带农促增收典型案例，</w:t>
      </w:r>
      <w:r>
        <w:rPr>
          <w:rFonts w:hint="eastAsia" w:ascii="仿宋_GB2312" w:hAnsi="仿宋_GB2312" w:eastAsia="仿宋_GB2312" w:cs="仿宋_GB2312"/>
          <w:color w:val="auto"/>
          <w:sz w:val="32"/>
          <w:szCs w:val="32"/>
        </w:rPr>
        <w:t>大余麻鸭产业研究院</w:t>
      </w:r>
      <w:r>
        <w:rPr>
          <w:rFonts w:hint="eastAsia" w:ascii="仿宋_GB2312" w:hAnsi="仿宋_GB2312" w:eastAsia="仿宋_GB2312" w:cs="仿宋_GB2312"/>
          <w:color w:val="auto"/>
          <w:sz w:val="32"/>
          <w:szCs w:val="32"/>
          <w:lang w:val="en-US" w:eastAsia="zh-CN"/>
        </w:rPr>
        <w:t>揭牌运行。</w:t>
      </w:r>
    </w:p>
    <w:p w14:paraId="25B90B3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rPr>
        <w:t>二是工业结构更具韧性。</w:t>
      </w:r>
      <w:r>
        <w:rPr>
          <w:rFonts w:hint="eastAsia" w:ascii="仿宋_GB2312" w:hAnsi="仿宋_GB2312" w:eastAsia="仿宋_GB2312" w:cs="仿宋_GB2312"/>
          <w:color w:val="auto"/>
          <w:sz w:val="32"/>
          <w:szCs w:val="32"/>
          <w:lang w:eastAsia="zh-CN"/>
        </w:rPr>
        <w:t>加快</w:t>
      </w:r>
      <w:r>
        <w:rPr>
          <w:rFonts w:hint="eastAsia" w:ascii="仿宋_GB2312" w:hAnsi="仿宋_GB2312" w:eastAsia="仿宋_GB2312" w:cs="仿宋_GB2312"/>
          <w:color w:val="auto"/>
          <w:sz w:val="32"/>
          <w:szCs w:val="32"/>
        </w:rPr>
        <w:t>实施制造业重点产业链现代化建设“4312”行动计划，新能源和新能源汽车配件、有色金属和新材料、绿色食品、电子信息4</w:t>
      </w:r>
      <w:r>
        <w:rPr>
          <w:rFonts w:hint="eastAsia" w:ascii="仿宋_GB2312" w:hAnsi="仿宋_GB2312" w:eastAsia="仿宋_GB2312" w:cs="仿宋_GB2312"/>
          <w:color w:val="auto"/>
          <w:sz w:val="32"/>
          <w:szCs w:val="32"/>
          <w:lang w:val="en-US" w:eastAsia="zh-CN"/>
        </w:rPr>
        <w:t>条产业链</w:t>
      </w:r>
      <w:r>
        <w:rPr>
          <w:rFonts w:hint="eastAsia" w:ascii="仿宋_GB2312" w:hAnsi="仿宋_GB2312" w:eastAsia="仿宋_GB2312" w:cs="仿宋_GB2312"/>
          <w:color w:val="auto"/>
          <w:sz w:val="32"/>
          <w:szCs w:val="32"/>
        </w:rPr>
        <w:t>实现规上企业营收</w:t>
      </w:r>
      <w:r>
        <w:rPr>
          <w:rFonts w:hint="eastAsia" w:ascii="仿宋_GB2312" w:hAnsi="仿宋_GB2312" w:eastAsia="仿宋_GB2312" w:cs="仿宋_GB2312"/>
          <w:color w:val="auto"/>
          <w:sz w:val="32"/>
          <w:szCs w:val="32"/>
          <w:lang w:eastAsia="zh-CN"/>
        </w:rPr>
        <w:t>超</w:t>
      </w:r>
      <w:r>
        <w:rPr>
          <w:rFonts w:hint="eastAsia" w:ascii="仿宋_GB2312" w:hAnsi="仿宋_GB2312" w:eastAsia="仿宋_GB2312" w:cs="仿宋_GB2312"/>
          <w:color w:val="auto"/>
          <w:sz w:val="32"/>
          <w:szCs w:val="32"/>
          <w:lang w:val="en-US" w:eastAsia="zh-CN"/>
        </w:rPr>
        <w:t>160</w:t>
      </w:r>
      <w:r>
        <w:rPr>
          <w:rFonts w:hint="eastAsia" w:ascii="仿宋_GB2312" w:hAnsi="仿宋_GB2312" w:eastAsia="仿宋_GB2312" w:cs="仿宋_GB2312"/>
          <w:color w:val="auto"/>
          <w:sz w:val="32"/>
          <w:szCs w:val="32"/>
        </w:rPr>
        <w:t>亿元，占</w:t>
      </w:r>
      <w:r>
        <w:rPr>
          <w:rFonts w:hint="eastAsia" w:ascii="仿宋_GB2312" w:hAnsi="仿宋_GB2312" w:eastAsia="仿宋_GB2312" w:cs="仿宋_GB2312"/>
          <w:color w:val="auto"/>
          <w:sz w:val="32"/>
          <w:szCs w:val="32"/>
          <w:lang w:eastAsia="zh-CN"/>
        </w:rPr>
        <w:t>全县规上企业营收</w:t>
      </w:r>
      <w:r>
        <w:rPr>
          <w:rFonts w:hint="eastAsia" w:ascii="仿宋_GB2312" w:hAnsi="仿宋_GB2312" w:eastAsia="仿宋_GB2312" w:cs="仿宋_GB2312"/>
          <w:color w:val="auto"/>
          <w:sz w:val="32"/>
          <w:szCs w:val="32"/>
        </w:rPr>
        <w:t>比重</w:t>
      </w:r>
      <w:r>
        <w:rPr>
          <w:rFonts w:hint="eastAsia" w:ascii="仿宋_GB2312" w:hAnsi="仿宋_GB2312" w:eastAsia="仿宋_GB2312" w:cs="仿宋_GB2312"/>
          <w:color w:val="auto"/>
          <w:sz w:val="32"/>
          <w:szCs w:val="32"/>
          <w:lang w:eastAsia="zh-CN"/>
        </w:rPr>
        <w:t>超过</w:t>
      </w:r>
      <w:r>
        <w:rPr>
          <w:rFonts w:hint="eastAsia" w:ascii="仿宋_GB2312" w:hAnsi="仿宋_GB2312" w:eastAsia="仿宋_GB2312" w:cs="仿宋_GB2312"/>
          <w:color w:val="auto"/>
          <w:sz w:val="32"/>
          <w:szCs w:val="32"/>
          <w:lang w:val="en-US" w:eastAsia="zh-CN"/>
        </w:rPr>
        <w:t>90%。健全完善</w:t>
      </w:r>
      <w:r>
        <w:rPr>
          <w:rFonts w:hint="eastAsia" w:ascii="仿宋_GB2312" w:hAnsi="仿宋_GB2312" w:eastAsia="仿宋_GB2312" w:cs="仿宋_GB2312"/>
          <w:color w:val="auto"/>
          <w:sz w:val="32"/>
          <w:szCs w:val="32"/>
        </w:rPr>
        <w:t>“链长+链主+链核+链上”的链式推进体系</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持续推进重点产业链延链补链强链，东腾锂业、希尔曼等重大新能源产业项目建成投产，</w:t>
      </w:r>
      <w:r>
        <w:rPr>
          <w:rFonts w:hint="eastAsia" w:ascii="仿宋_GB2312" w:hAnsi="仿宋_GB2312" w:eastAsia="仿宋_GB2312" w:cs="仿宋_GB2312"/>
          <w:color w:val="auto"/>
          <w:sz w:val="32"/>
          <w:szCs w:val="32"/>
        </w:rPr>
        <w:t>新能源和新能源汽车配件</w:t>
      </w:r>
      <w:r>
        <w:rPr>
          <w:rFonts w:hint="eastAsia" w:ascii="仿宋_GB2312" w:hAnsi="仿宋_GB2312" w:eastAsia="仿宋_GB2312" w:cs="仿宋_GB2312"/>
          <w:color w:val="auto"/>
          <w:sz w:val="32"/>
          <w:szCs w:val="32"/>
          <w:lang w:eastAsia="zh-CN"/>
        </w:rPr>
        <w:t>产业链向后端延伸；</w:t>
      </w:r>
      <w:r>
        <w:rPr>
          <w:rFonts w:hint="eastAsia" w:ascii="仿宋_GB2312" w:hAnsi="仿宋_GB2312" w:eastAsia="仿宋_GB2312" w:cs="仿宋_GB2312"/>
          <w:color w:val="auto"/>
          <w:sz w:val="32"/>
          <w:szCs w:val="32"/>
          <w:lang w:val="en-US" w:eastAsia="zh-CN"/>
        </w:rPr>
        <w:t>大余</w:t>
      </w:r>
      <w:r>
        <w:rPr>
          <w:rFonts w:hint="eastAsia" w:ascii="仿宋_GB2312" w:hAnsi="仿宋_GB2312" w:eastAsia="仿宋_GB2312" w:cs="仿宋_GB2312"/>
          <w:color w:val="auto"/>
          <w:sz w:val="32"/>
          <w:szCs w:val="32"/>
          <w:lang w:eastAsia="zh-CN"/>
        </w:rPr>
        <w:t>广荣年产9000吨APT</w:t>
      </w:r>
      <w:r>
        <w:rPr>
          <w:rFonts w:hint="eastAsia" w:ascii="仿宋_GB2312" w:hAnsi="仿宋_GB2312" w:eastAsia="仿宋_GB2312" w:cs="仿宋_GB2312"/>
          <w:color w:val="auto"/>
          <w:sz w:val="32"/>
          <w:szCs w:val="32"/>
          <w:lang w:val="en-US" w:eastAsia="zh-CN"/>
        </w:rPr>
        <w:t>技改</w:t>
      </w:r>
      <w:r>
        <w:rPr>
          <w:rFonts w:hint="eastAsia" w:ascii="仿宋_GB2312" w:hAnsi="仿宋_GB2312" w:eastAsia="仿宋_GB2312" w:cs="仿宋_GB2312"/>
          <w:color w:val="auto"/>
          <w:sz w:val="32"/>
          <w:szCs w:val="32"/>
          <w:lang w:eastAsia="zh-CN"/>
        </w:rPr>
        <w:t>项目签约落地，补齐了钨及有色金属产业链要素短板；洽谈引进瑞尔德新材料项目，微纳粉体新材料产业链发展壮大。</w:t>
      </w:r>
      <w:r>
        <w:rPr>
          <w:rFonts w:hint="eastAsia" w:ascii="仿宋_GB2312" w:hAnsi="仿宋_GB2312" w:eastAsia="仿宋_GB2312" w:cs="仿宋_GB2312"/>
          <w:color w:val="auto"/>
          <w:sz w:val="32"/>
          <w:szCs w:val="32"/>
          <w:lang w:val="en-US" w:eastAsia="zh-CN"/>
        </w:rPr>
        <w:t>企业培育扩面增效，新增入规企业15家，规上企业总数首次突破百家、达102家。智改数转全面提速，全县新增上云企业208家，完成81家规上企业数字化诊断评价，43家企业实现提档升级，企业数字化改造率排名全市前列</w:t>
      </w:r>
      <w:r>
        <w:rPr>
          <w:rFonts w:hint="eastAsia"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lang w:val="en-US" w:eastAsia="zh-CN"/>
        </w:rPr>
        <w:t>富华米业等4家企业获评省级“两化融合示范企业”，翔鹭钨业等3家企业获评市级智能制造示范企业。</w:t>
      </w:r>
      <w:r>
        <w:rPr>
          <w:rFonts w:hint="eastAsia" w:ascii="仿宋_GB2312" w:hAnsi="仿宋_GB2312" w:eastAsia="仿宋_GB2312" w:cs="仿宋_GB2312"/>
          <w:color w:val="auto"/>
          <w:sz w:val="32"/>
          <w:szCs w:val="32"/>
        </w:rPr>
        <w:t>有色金属新材料（钨新材料及应用）产业集群入选省中小企业特色产业集群。大余工业园区连续两年获评省级开发区综合考核第一等次。</w:t>
      </w:r>
      <w:r>
        <w:rPr>
          <w:rFonts w:hint="eastAsia" w:ascii="仿宋_GB2312" w:hAnsi="仿宋_GB2312" w:eastAsia="仿宋_GB2312" w:cs="仿宋_GB2312"/>
          <w:color w:val="auto"/>
          <w:sz w:val="32"/>
          <w:szCs w:val="32"/>
          <w:lang w:eastAsia="zh-CN"/>
        </w:rPr>
        <w:t>我县</w:t>
      </w:r>
      <w:r>
        <w:rPr>
          <w:rFonts w:hint="eastAsia" w:ascii="仿宋_GB2312" w:hAnsi="仿宋_GB2312" w:eastAsia="仿宋_GB2312" w:cs="仿宋_GB2312"/>
          <w:color w:val="auto"/>
          <w:sz w:val="32"/>
          <w:szCs w:val="32"/>
          <w:lang w:val="en-US" w:eastAsia="zh-CN"/>
        </w:rPr>
        <w:t>连续三年荣获全市工业倍增升级先进单位。</w:t>
      </w:r>
    </w:p>
    <w:p w14:paraId="4C78DCC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rPr>
        <w:t>三是现代服务业</w:t>
      </w:r>
      <w:r>
        <w:rPr>
          <w:rFonts w:hint="eastAsia" w:ascii="仿宋_GB2312" w:hAnsi="仿宋_GB2312" w:eastAsia="仿宋_GB2312" w:cs="仿宋_GB2312"/>
          <w:b/>
          <w:bCs/>
          <w:color w:val="auto"/>
          <w:sz w:val="32"/>
          <w:szCs w:val="32"/>
          <w:lang w:val="en-US" w:eastAsia="zh-CN"/>
        </w:rPr>
        <w:t>更具活力</w:t>
      </w:r>
      <w:r>
        <w:rPr>
          <w:rFonts w:hint="eastAsia" w:ascii="仿宋_GB2312" w:hAnsi="仿宋_GB2312" w:eastAsia="仿宋_GB2312" w:cs="仿宋_GB2312"/>
          <w:b/>
          <w:bCs/>
          <w:color w:val="auto"/>
          <w:sz w:val="32"/>
          <w:szCs w:val="32"/>
        </w:rPr>
        <w:t>。</w:t>
      </w:r>
      <w:r>
        <w:rPr>
          <w:rFonts w:hint="eastAsia" w:ascii="仿宋_GB2312" w:hAnsi="仿宋_GB2312" w:eastAsia="仿宋_GB2312" w:cs="仿宋_GB2312"/>
          <w:color w:val="auto"/>
          <w:sz w:val="32"/>
          <w:szCs w:val="32"/>
          <w:lang w:val="en-US" w:eastAsia="zh-CN"/>
        </w:rPr>
        <w:t>赛事经济蓬勃发展，成功举办越野e族森林英雄会、森勇毅径马拉松越野赛等重大文体赛事活动，</w:t>
      </w:r>
      <w:r>
        <w:rPr>
          <w:rFonts w:hint="eastAsia" w:ascii="仿宋_GB2312" w:hAnsi="仿宋_GB2312" w:eastAsia="仿宋_GB2312" w:cs="仿宋_GB2312"/>
          <w:color w:val="auto"/>
          <w:sz w:val="32"/>
          <w:szCs w:val="32"/>
        </w:rPr>
        <w:t>吸引全国各地参赛越野车3</w:t>
      </w:r>
      <w:r>
        <w:rPr>
          <w:rFonts w:hint="eastAsia" w:ascii="仿宋_GB2312" w:hAnsi="仿宋_GB2312" w:eastAsia="仿宋_GB2312" w:cs="仿宋_GB2312"/>
          <w:color w:val="auto"/>
          <w:sz w:val="32"/>
          <w:szCs w:val="32"/>
          <w:lang w:val="en-US" w:eastAsia="zh-CN"/>
        </w:rPr>
        <w:t>000余</w:t>
      </w:r>
      <w:r>
        <w:rPr>
          <w:rFonts w:hint="eastAsia" w:ascii="仿宋_GB2312" w:hAnsi="仿宋_GB2312" w:eastAsia="仿宋_GB2312" w:cs="仿宋_GB2312"/>
          <w:color w:val="auto"/>
          <w:sz w:val="32"/>
          <w:szCs w:val="32"/>
        </w:rPr>
        <w:t>辆、跑步爱好者40</w:t>
      </w:r>
      <w:r>
        <w:rPr>
          <w:rFonts w:hint="eastAsia" w:ascii="仿宋_GB2312" w:hAnsi="仿宋_GB2312" w:eastAsia="仿宋_GB2312" w:cs="仿宋_GB2312"/>
          <w:color w:val="auto"/>
          <w:sz w:val="32"/>
          <w:szCs w:val="32"/>
          <w:lang w:val="en-US" w:eastAsia="zh-CN"/>
        </w:rPr>
        <w:t>00余</w:t>
      </w:r>
      <w:r>
        <w:rPr>
          <w:rFonts w:hint="eastAsia" w:ascii="仿宋_GB2312" w:hAnsi="仿宋_GB2312" w:eastAsia="仿宋_GB2312" w:cs="仿宋_GB2312"/>
          <w:color w:val="auto"/>
          <w:sz w:val="32"/>
          <w:szCs w:val="32"/>
        </w:rPr>
        <w:t>名，</w:t>
      </w:r>
      <w:r>
        <w:rPr>
          <w:rFonts w:hint="eastAsia" w:ascii="仿宋_GB2312" w:hAnsi="仿宋_GB2312" w:eastAsia="仿宋_GB2312" w:cs="仿宋_GB2312"/>
          <w:color w:val="auto"/>
          <w:spacing w:val="0"/>
          <w:position w:val="0"/>
          <w:sz w:val="32"/>
          <w:szCs w:val="32"/>
          <w:shd w:val="clear" w:fill="auto"/>
          <w:lang w:val="en-US" w:eastAsia="zh-CN"/>
        </w:rPr>
        <w:t>打造了新的旅游消费增长极</w:t>
      </w:r>
      <w:r>
        <w:rPr>
          <w:rFonts w:hint="eastAsia" w:ascii="仿宋_GB2312" w:hAnsi="仿宋_GB2312" w:eastAsia="仿宋_GB2312" w:cs="仿宋_GB2312"/>
          <w:color w:val="auto"/>
          <w:sz w:val="32"/>
          <w:szCs w:val="32"/>
          <w:lang w:val="en-US" w:eastAsia="zh-CN"/>
        </w:rPr>
        <w:t>。新增三月三、忘忧谷为国家2A级旅游景区，丫山旅游度假区成功在香港设立海外营销中心，精彩承办“五洲客家音·梅关古道情”文化学术交流会，“大有可观，余韵千年”文旅品牌更加响亮，全年接待游客超800万人次、实现旅游总收入超75亿元。东升物流产业园项目基本完工，“客货邮”在全县推行，现代物流体系更加完善。创新推出“粮农贷”“林权抵押贷款”等信贷产品服务实体产业发展。</w:t>
      </w:r>
    </w:p>
    <w:p w14:paraId="61CE24D2">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color w:val="auto"/>
          <w:sz w:val="32"/>
          <w:szCs w:val="32"/>
          <w:lang w:eastAsia="zh-CN"/>
        </w:rPr>
      </w:pPr>
      <w:r>
        <w:rPr>
          <w:rFonts w:hint="eastAsia" w:ascii="楷体_GB2312" w:hAnsi="楷体_GB2312" w:eastAsia="楷体_GB2312" w:cs="楷体_GB2312"/>
          <w:b/>
          <w:bCs/>
          <w:color w:val="auto"/>
          <w:sz w:val="32"/>
          <w:szCs w:val="32"/>
        </w:rPr>
        <w:t>（二）聚焦有效需求增长，发展动能不断激发</w:t>
      </w:r>
    </w:p>
    <w:p w14:paraId="1092C8EC">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一是有效投入不断扩大。</w:t>
      </w:r>
      <w:r>
        <w:rPr>
          <w:rFonts w:hint="eastAsia" w:ascii="仿宋_GB2312" w:hAnsi="仿宋_GB2312" w:eastAsia="仿宋_GB2312" w:cs="仿宋_GB2312"/>
          <w:color w:val="auto"/>
          <w:sz w:val="32"/>
          <w:szCs w:val="32"/>
          <w:highlight w:val="none"/>
        </w:rPr>
        <w:t>争资争项成绩斐然，</w:t>
      </w:r>
      <w:r>
        <w:rPr>
          <w:rFonts w:hint="eastAsia" w:ascii="仿宋_GB2312" w:hAnsi="仿宋_GB2312" w:eastAsia="仿宋_GB2312" w:cs="仿宋_GB2312"/>
          <w:color w:val="auto"/>
          <w:sz w:val="32"/>
          <w:szCs w:val="32"/>
          <w:highlight w:val="none"/>
          <w:lang w:val="en-US" w:eastAsia="zh-CN"/>
        </w:rPr>
        <w:t>预计全年</w:t>
      </w:r>
      <w:r>
        <w:rPr>
          <w:rFonts w:hint="eastAsia" w:ascii="仿宋_GB2312" w:hAnsi="仿宋_GB2312" w:eastAsia="仿宋_GB2312" w:cs="仿宋_GB2312"/>
          <w:color w:val="auto"/>
          <w:sz w:val="32"/>
          <w:szCs w:val="32"/>
          <w:highlight w:val="none"/>
          <w:lang w:eastAsia="zh-CN"/>
        </w:rPr>
        <w:t>累计争取上级资金</w:t>
      </w:r>
      <w:r>
        <w:rPr>
          <w:rFonts w:hint="eastAsia" w:ascii="仿宋_GB2312" w:hAnsi="仿宋_GB2312" w:eastAsia="仿宋_GB2312" w:cs="仿宋_GB2312"/>
          <w:color w:val="auto"/>
          <w:sz w:val="32"/>
          <w:szCs w:val="32"/>
          <w:highlight w:val="none"/>
          <w:lang w:val="en-US" w:eastAsia="zh-CN"/>
        </w:rPr>
        <w:t>33.6</w:t>
      </w:r>
      <w:r>
        <w:rPr>
          <w:rFonts w:hint="eastAsia" w:ascii="仿宋_GB2312" w:hAnsi="仿宋_GB2312" w:eastAsia="仿宋_GB2312" w:cs="仿宋_GB2312"/>
          <w:color w:val="auto"/>
          <w:sz w:val="32"/>
          <w:szCs w:val="32"/>
          <w:highlight w:val="none"/>
        </w:rPr>
        <w:t>亿元</w:t>
      </w:r>
      <w:r>
        <w:rPr>
          <w:rFonts w:hint="eastAsia" w:ascii="仿宋_GB2312" w:hAnsi="仿宋_GB2312" w:eastAsia="仿宋_GB2312" w:cs="仿宋_GB2312"/>
          <w:color w:val="auto"/>
          <w:sz w:val="32"/>
          <w:szCs w:val="32"/>
          <w:highlight w:val="none"/>
          <w:lang w:eastAsia="zh-CN"/>
        </w:rPr>
        <w:t>，其中争取</w:t>
      </w:r>
      <w:r>
        <w:rPr>
          <w:rFonts w:hint="eastAsia" w:ascii="仿宋_GB2312" w:hAnsi="仿宋_GB2312" w:eastAsia="仿宋_GB2312" w:cs="仿宋_GB2312"/>
          <w:color w:val="auto"/>
          <w:sz w:val="32"/>
          <w:szCs w:val="32"/>
          <w:highlight w:val="none"/>
          <w:lang w:val="en-US" w:eastAsia="zh-CN"/>
        </w:rPr>
        <w:t>老旧居民住宅楼燃气管网及配套设施更新改造等5个项目获2.2亿元超长期特别国债资金支持</w:t>
      </w:r>
      <w:r>
        <w:rPr>
          <w:rFonts w:hint="eastAsia" w:ascii="仿宋_GB2312" w:hAnsi="仿宋_GB2312" w:eastAsia="仿宋_GB2312" w:cs="仿宋_GB2312"/>
          <w:color w:val="auto"/>
          <w:sz w:val="32"/>
          <w:szCs w:val="32"/>
          <w:lang w:val="en-US" w:eastAsia="zh-CN"/>
        </w:rPr>
        <w:t>。资源枯竭城市转型工作绩效评价结果列全国第8、全省第1，获国家发展改革委等3部委点名肯定，下达2024年资源枯竭城市转移支付资金8408万元，创历史新高。</w:t>
      </w:r>
      <w:r>
        <w:rPr>
          <w:rFonts w:hint="eastAsia" w:ascii="仿宋_GB2312" w:hAnsi="仿宋_GB2312" w:eastAsia="仿宋_GB2312" w:cs="仿宋_GB2312"/>
          <w:color w:val="auto"/>
          <w:sz w:val="32"/>
          <w:szCs w:val="32"/>
        </w:rPr>
        <w:t>招商引资成效显著，连续三年荣获全市开放型经济综合先进县</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成功举办对接长三角招商引智推介会、对接融入粤港澳大湾区产业招商推介会</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“三请三回”招商推介会等活动</w:t>
      </w:r>
      <w:r>
        <w:rPr>
          <w:rFonts w:hint="eastAsia" w:ascii="仿宋_GB2312" w:hAnsi="仿宋_GB2312" w:eastAsia="仿宋_GB2312" w:cs="仿宋_GB2312"/>
          <w:color w:val="auto"/>
          <w:sz w:val="32"/>
          <w:szCs w:val="32"/>
          <w:lang w:val="en-US" w:eastAsia="zh-CN"/>
        </w:rPr>
        <w:t>30</w:t>
      </w:r>
      <w:r>
        <w:rPr>
          <w:rFonts w:hint="eastAsia" w:ascii="仿宋_GB2312" w:hAnsi="仿宋_GB2312" w:eastAsia="仿宋_GB2312" w:cs="仿宋_GB2312"/>
          <w:color w:val="auto"/>
          <w:sz w:val="32"/>
          <w:szCs w:val="32"/>
        </w:rPr>
        <w:t>次，签约引进中科鸿虔等项目31个，总投资34.</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亿元，其中亿元以上项目11个。</w:t>
      </w:r>
    </w:p>
    <w:p w14:paraId="27E77CF9">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rPr>
        <w:t>二是重大项目加快推进。</w:t>
      </w:r>
      <w:r>
        <w:rPr>
          <w:rFonts w:hint="eastAsia" w:ascii="仿宋_GB2312" w:hAnsi="仿宋_GB2312" w:eastAsia="仿宋_GB2312" w:cs="仿宋_GB2312"/>
          <w:b w:val="0"/>
          <w:bCs w:val="0"/>
          <w:color w:val="auto"/>
          <w:sz w:val="32"/>
          <w:szCs w:val="32"/>
          <w:lang w:eastAsia="zh-CN"/>
        </w:rPr>
        <w:t>建立</w:t>
      </w:r>
      <w:r>
        <w:rPr>
          <w:rFonts w:hint="eastAsia" w:ascii="仿宋_GB2312" w:hAnsi="仿宋_GB2312" w:eastAsia="仿宋_GB2312" w:cs="仿宋_GB2312"/>
          <w:color w:val="auto"/>
          <w:sz w:val="32"/>
          <w:szCs w:val="32"/>
        </w:rPr>
        <w:t>“县领导挂帅、牵头部门统筹、专人专班全程跟进负责到底”项目推进机制，县委</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县政府主要负责同志主持召开全县重点项目推进会22期，协调102个重点项目</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解决瓶颈问题270余个。西华山博物馆、睿赛珂、新城天然气综合利用等</w:t>
      </w:r>
      <w:r>
        <w:rPr>
          <w:rFonts w:hint="eastAsia" w:ascii="仿宋_GB2312" w:hAnsi="仿宋_GB2312" w:eastAsia="仿宋_GB2312" w:cs="仿宋_GB2312"/>
          <w:color w:val="auto"/>
          <w:sz w:val="32"/>
          <w:szCs w:val="32"/>
          <w:lang w:val="en-US" w:eastAsia="zh-CN"/>
        </w:rPr>
        <w:t>57个</w:t>
      </w:r>
      <w:r>
        <w:rPr>
          <w:rFonts w:hint="eastAsia" w:ascii="仿宋_GB2312" w:hAnsi="仿宋_GB2312" w:eastAsia="仿宋_GB2312" w:cs="仿宋_GB2312"/>
          <w:color w:val="auto"/>
          <w:sz w:val="32"/>
          <w:szCs w:val="32"/>
        </w:rPr>
        <w:t>重点项目建成</w:t>
      </w:r>
      <w:r>
        <w:rPr>
          <w:rFonts w:hint="eastAsia" w:ascii="仿宋_GB2312" w:hAnsi="仿宋_GB2312" w:eastAsia="仿宋_GB2312" w:cs="仿宋_GB2312"/>
          <w:color w:val="auto"/>
          <w:sz w:val="32"/>
          <w:szCs w:val="32"/>
          <w:lang w:eastAsia="zh-CN"/>
        </w:rPr>
        <w:t>完工</w:t>
      </w:r>
      <w:r>
        <w:rPr>
          <w:rFonts w:hint="eastAsia" w:ascii="仿宋_GB2312" w:hAnsi="仿宋_GB2312" w:eastAsia="仿宋_GB2312" w:cs="仿宋_GB2312"/>
          <w:color w:val="auto"/>
          <w:sz w:val="32"/>
          <w:szCs w:val="32"/>
        </w:rPr>
        <w:t>，遂大高速</w:t>
      </w:r>
      <w:r>
        <w:rPr>
          <w:rFonts w:hint="eastAsia" w:ascii="仿宋_GB2312" w:hAnsi="仿宋_GB2312" w:eastAsia="仿宋_GB2312" w:cs="仿宋_GB2312"/>
          <w:color w:val="auto"/>
          <w:sz w:val="32"/>
          <w:szCs w:val="32"/>
          <w:lang w:eastAsia="zh-CN"/>
        </w:rPr>
        <w:t>（大余段）、南安镇防洪工程</w:t>
      </w:r>
      <w:r>
        <w:rPr>
          <w:rFonts w:hint="eastAsia" w:ascii="仿宋_GB2312" w:hAnsi="仿宋_GB2312" w:eastAsia="仿宋_GB2312" w:cs="仿宋_GB2312"/>
          <w:color w:val="auto"/>
          <w:sz w:val="32"/>
          <w:szCs w:val="32"/>
        </w:rPr>
        <w:t>等项目建设蹄疾步稳</w:t>
      </w:r>
      <w:r>
        <w:rPr>
          <w:rFonts w:hint="eastAsia" w:ascii="仿宋_GB2312" w:hAnsi="仿宋_GB2312" w:eastAsia="仿宋_GB2312" w:cs="仿宋_GB2312"/>
          <w:color w:val="auto"/>
          <w:sz w:val="32"/>
          <w:szCs w:val="32"/>
          <w:lang w:eastAsia="zh-CN"/>
        </w:rPr>
        <w:t>。全县</w:t>
      </w:r>
      <w:r>
        <w:rPr>
          <w:rFonts w:hint="eastAsia" w:ascii="仿宋_GB2312" w:hAnsi="仿宋_GB2312" w:eastAsia="仿宋_GB2312" w:cs="仿宋_GB2312"/>
          <w:color w:val="auto"/>
          <w:sz w:val="32"/>
          <w:szCs w:val="32"/>
        </w:rPr>
        <w:t>25个省大中型项目</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192个“八大行动”项目</w:t>
      </w:r>
      <w:r>
        <w:rPr>
          <w:rFonts w:hint="eastAsia" w:ascii="仿宋_GB2312" w:hAnsi="仿宋_GB2312" w:eastAsia="仿宋_GB2312" w:cs="仿宋_GB2312"/>
          <w:color w:val="auto"/>
          <w:sz w:val="32"/>
          <w:szCs w:val="32"/>
          <w:lang w:eastAsia="zh-CN"/>
        </w:rPr>
        <w:t>分别完成</w:t>
      </w:r>
      <w:r>
        <w:rPr>
          <w:rFonts w:hint="eastAsia" w:ascii="仿宋_GB2312" w:hAnsi="仿宋_GB2312" w:eastAsia="仿宋_GB2312" w:cs="仿宋_GB2312"/>
          <w:color w:val="auto"/>
          <w:sz w:val="32"/>
          <w:szCs w:val="32"/>
        </w:rPr>
        <w:t>年度计划投资</w:t>
      </w:r>
      <w:r>
        <w:rPr>
          <w:rFonts w:hint="eastAsia" w:ascii="仿宋_GB2312" w:hAnsi="仿宋_GB2312" w:eastAsia="仿宋_GB2312" w:cs="仿宋_GB2312"/>
          <w:color w:val="auto"/>
          <w:sz w:val="32"/>
          <w:szCs w:val="32"/>
          <w:lang w:eastAsia="zh-CN"/>
        </w:rPr>
        <w:t>的</w:t>
      </w:r>
      <w:r>
        <w:rPr>
          <w:rFonts w:hint="eastAsia" w:ascii="仿宋_GB2312" w:hAnsi="仿宋_GB2312" w:eastAsia="仿宋_GB2312" w:cs="仿宋_GB2312"/>
          <w:color w:val="auto"/>
          <w:sz w:val="32"/>
          <w:szCs w:val="32"/>
          <w:lang w:val="en-US" w:eastAsia="zh-CN"/>
        </w:rPr>
        <w:t>110</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102.7</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水利增发国债项目顺利完成“双百”目标，获省发展改革委通报表扬</w:t>
      </w:r>
      <w:r>
        <w:rPr>
          <w:rFonts w:hint="eastAsia" w:ascii="仿宋_GB2312" w:hAnsi="仿宋_GB2312" w:eastAsia="仿宋_GB2312" w:cs="仿宋_GB2312"/>
          <w:color w:val="auto"/>
          <w:sz w:val="32"/>
          <w:szCs w:val="32"/>
        </w:rPr>
        <w:t>。</w:t>
      </w:r>
    </w:p>
    <w:p w14:paraId="6B610DCF">
      <w:pPr>
        <w:pStyle w:val="2"/>
        <w:keepNext w:val="0"/>
        <w:keepLines w:val="0"/>
        <w:pageBreakBefore w:val="0"/>
        <w:kinsoku/>
        <w:wordWrap/>
        <w:overflowPunct/>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rPr>
        <w:t>三是消费潜能加速释放。</w:t>
      </w:r>
      <w:r>
        <w:rPr>
          <w:rFonts w:hint="eastAsia" w:ascii="仿宋_GB2312" w:hAnsi="仿宋_GB2312" w:cs="仿宋_GB2312"/>
          <w:color w:val="auto"/>
          <w:szCs w:val="32"/>
        </w:rPr>
        <w:t>持续推动消费品</w:t>
      </w:r>
      <w:r>
        <w:rPr>
          <w:rFonts w:hint="eastAsia" w:ascii="仿宋_GB2312" w:hAnsi="仿宋_GB2312" w:cs="仿宋_GB2312"/>
          <w:color w:val="auto"/>
          <w:szCs w:val="32"/>
          <w:lang w:eastAsia="zh-CN"/>
        </w:rPr>
        <w:t>以旧换新</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累计</w:t>
      </w:r>
      <w:r>
        <w:rPr>
          <w:rFonts w:hint="eastAsia" w:ascii="仿宋_GB2312" w:hAnsi="仿宋_GB2312" w:eastAsia="仿宋_GB2312" w:cs="仿宋_GB2312"/>
          <w:color w:val="auto"/>
          <w:sz w:val="32"/>
          <w:szCs w:val="32"/>
          <w:lang w:val="en-US" w:eastAsia="zh-CN"/>
        </w:rPr>
        <w:t>发放补贴资金</w:t>
      </w:r>
      <w:r>
        <w:rPr>
          <w:rFonts w:hint="eastAsia" w:ascii="仿宋_GB2312" w:hAnsi="仿宋_GB2312" w:cs="仿宋_GB2312"/>
          <w:color w:val="auto"/>
          <w:sz w:val="32"/>
          <w:szCs w:val="32"/>
          <w:lang w:val="en-US" w:eastAsia="zh-CN"/>
        </w:rPr>
        <w:t>7</w:t>
      </w:r>
      <w:r>
        <w:rPr>
          <w:rFonts w:hint="eastAsia" w:ascii="仿宋_GB2312" w:hAnsi="仿宋_GB2312" w:eastAsia="仿宋_GB2312" w:cs="仿宋_GB2312"/>
          <w:color w:val="auto"/>
          <w:sz w:val="32"/>
          <w:szCs w:val="32"/>
          <w:lang w:val="en-US" w:eastAsia="zh-CN"/>
        </w:rPr>
        <w:t>57万元，</w:t>
      </w:r>
      <w:r>
        <w:rPr>
          <w:rFonts w:hint="eastAsia" w:ascii="仿宋_GB2312" w:hAnsi="仿宋_GB2312" w:eastAsia="仿宋_GB2312" w:cs="仿宋_GB2312"/>
          <w:color w:val="auto"/>
          <w:sz w:val="32"/>
          <w:szCs w:val="32"/>
        </w:rPr>
        <w:t>带动消费6700万元。</w:t>
      </w:r>
      <w:r>
        <w:rPr>
          <w:rFonts w:hint="eastAsia" w:ascii="仿宋_GB2312" w:hAnsi="仿宋_GB2312" w:eastAsia="仿宋_GB2312" w:cs="仿宋_GB2312"/>
          <w:b w:val="0"/>
          <w:bCs w:val="0"/>
          <w:color w:val="auto"/>
          <w:sz w:val="32"/>
          <w:szCs w:val="32"/>
          <w:lang w:eastAsia="zh-CN"/>
        </w:rPr>
        <w:t>成功</w:t>
      </w:r>
      <w:r>
        <w:rPr>
          <w:rFonts w:hint="eastAsia" w:ascii="仿宋_GB2312" w:hAnsi="仿宋_GB2312" w:eastAsia="仿宋_GB2312" w:cs="仿宋_GB2312"/>
          <w:color w:val="auto"/>
          <w:kern w:val="2"/>
          <w:sz w:val="32"/>
          <w:szCs w:val="32"/>
          <w:lang w:val="en-US" w:eastAsia="zh-CN" w:bidi="ar-SA"/>
        </w:rPr>
        <w:t>举</w:t>
      </w:r>
      <w:r>
        <w:rPr>
          <w:rFonts w:hint="default" w:ascii="仿宋_GB2312" w:hAnsi="仿宋_GB2312" w:eastAsia="仿宋_GB2312" w:cs="仿宋_GB2312"/>
          <w:color w:val="auto"/>
          <w:kern w:val="2"/>
          <w:sz w:val="32"/>
          <w:szCs w:val="32"/>
          <w:lang w:val="en-US" w:eastAsia="zh-CN" w:bidi="ar-SA"/>
        </w:rPr>
        <w:t>办</w:t>
      </w:r>
      <w:r>
        <w:rPr>
          <w:rFonts w:hint="eastAsia" w:ascii="仿宋_GB2312" w:hAnsi="仿宋_GB2312" w:eastAsia="仿宋_GB2312" w:cs="仿宋_GB2312"/>
          <w:color w:val="auto"/>
          <w:sz w:val="32"/>
          <w:szCs w:val="32"/>
          <w:lang w:val="en-US" w:eastAsia="zh-CN"/>
        </w:rPr>
        <w:t>“嗨购新春·乐在大余”</w:t>
      </w:r>
      <w:r>
        <w:rPr>
          <w:rFonts w:hint="eastAsia" w:ascii="仿宋_GB2312" w:hAnsi="仿宋_GB2312" w:eastAsia="仿宋_GB2312" w:cs="仿宋_GB2312"/>
          <w:color w:val="auto"/>
          <w:kern w:val="2"/>
          <w:sz w:val="32"/>
          <w:szCs w:val="32"/>
          <w:lang w:val="en-US" w:eastAsia="zh-CN" w:bidi="ar-SA"/>
        </w:rPr>
        <w:t>2024年新春消费季</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kern w:val="2"/>
          <w:sz w:val="32"/>
          <w:szCs w:val="32"/>
          <w:lang w:val="en-US" w:eastAsia="zh-CN" w:bidi="ar-SA"/>
        </w:rPr>
        <w:t>赣州市消费品以旧换新行动盛夏消费节活动启动仪式</w:t>
      </w:r>
      <w:r>
        <w:rPr>
          <w:rFonts w:hint="eastAsia" w:ascii="仿宋_GB2312" w:hAnsi="仿宋_GB2312" w:cs="仿宋_GB2312"/>
          <w:color w:val="auto"/>
          <w:kern w:val="2"/>
          <w:sz w:val="32"/>
          <w:szCs w:val="32"/>
          <w:lang w:val="en-US" w:eastAsia="zh-CN" w:bidi="ar-SA"/>
        </w:rPr>
        <w:t>、“南安腊味 余味无穷”展销会</w:t>
      </w:r>
      <w:r>
        <w:rPr>
          <w:rFonts w:hint="eastAsia" w:ascii="仿宋_GB2312" w:hAnsi="仿宋_GB2312" w:eastAsia="仿宋_GB2312" w:cs="仿宋_GB2312"/>
          <w:color w:val="auto"/>
          <w:sz w:val="32"/>
          <w:szCs w:val="32"/>
          <w:lang w:val="en-US" w:eastAsia="zh-CN"/>
        </w:rPr>
        <w:t>等系列“消费促进年”活动，南安历史文化园特色商业街区夜间经济持续火热，奥园广场、安康广场</w:t>
      </w:r>
      <w:r>
        <w:rPr>
          <w:rFonts w:hint="eastAsia" w:ascii="仿宋_GB2312" w:hAnsi="仿宋_GB2312" w:cs="仿宋_GB2312"/>
          <w:color w:val="auto"/>
          <w:sz w:val="32"/>
          <w:szCs w:val="32"/>
          <w:lang w:val="en-US" w:eastAsia="zh-CN"/>
        </w:rPr>
        <w:t>、体育中心</w:t>
      </w:r>
      <w:r>
        <w:rPr>
          <w:rFonts w:hint="eastAsia" w:ascii="仿宋_GB2312" w:hAnsi="仿宋_GB2312" w:eastAsia="仿宋_GB2312" w:cs="仿宋_GB2312"/>
          <w:color w:val="auto"/>
          <w:sz w:val="32"/>
          <w:szCs w:val="32"/>
          <w:lang w:val="en-US" w:eastAsia="zh-CN"/>
        </w:rPr>
        <w:t>地摊经济聚集区人气旺盛，夜间消费、特色街区等新业态、新场景蓬勃发展</w:t>
      </w:r>
      <w:r>
        <w:rPr>
          <w:rFonts w:hint="eastAsia" w:ascii="仿宋_GB2312" w:hAnsi="仿宋_GB2312" w:cs="仿宋_GB2312"/>
          <w:color w:val="auto"/>
          <w:sz w:val="32"/>
          <w:szCs w:val="32"/>
          <w:lang w:val="en-US" w:eastAsia="zh-CN"/>
        </w:rPr>
        <w:t>，全县市场主体同比增长11%</w:t>
      </w:r>
      <w:r>
        <w:rPr>
          <w:rFonts w:hint="eastAsia" w:ascii="仿宋_GB2312" w:hAnsi="仿宋_GB2312" w:cs="仿宋_GB2312"/>
          <w:color w:val="auto"/>
          <w:szCs w:val="32"/>
          <w:highlight w:val="none"/>
          <w:lang w:eastAsia="zh-CN"/>
        </w:rPr>
        <w:t>。</w:t>
      </w:r>
      <w:r>
        <w:rPr>
          <w:rFonts w:hint="eastAsia" w:ascii="仿宋_GB2312" w:hAnsi="仿宋_GB2312" w:eastAsia="仿宋_GB2312" w:cs="仿宋_GB2312"/>
          <w:b w:val="0"/>
          <w:bCs w:val="0"/>
          <w:color w:val="auto"/>
          <w:sz w:val="32"/>
          <w:szCs w:val="32"/>
        </w:rPr>
        <w:t>做旺</w:t>
      </w:r>
      <w:r>
        <w:rPr>
          <w:rFonts w:hint="eastAsia" w:ascii="仿宋_GB2312" w:hAnsi="仿宋_GB2312" w:eastAsia="仿宋_GB2312" w:cs="仿宋_GB2312"/>
          <w:b w:val="0"/>
          <w:bCs w:val="0"/>
          <w:color w:val="auto"/>
          <w:sz w:val="32"/>
          <w:szCs w:val="32"/>
          <w:lang w:eastAsia="zh-CN"/>
        </w:rPr>
        <w:t>唱响</w:t>
      </w:r>
      <w:r>
        <w:rPr>
          <w:rFonts w:hint="eastAsia" w:ascii="仿宋_GB2312" w:hAnsi="仿宋_GB2312" w:eastAsia="仿宋_GB2312" w:cs="仿宋_GB2312"/>
          <w:b w:val="0"/>
          <w:bCs w:val="0"/>
          <w:color w:val="auto"/>
          <w:sz w:val="32"/>
          <w:szCs w:val="32"/>
        </w:rPr>
        <w:t>线上消费</w:t>
      </w:r>
      <w:r>
        <w:rPr>
          <w:rFonts w:hint="eastAsia" w:ascii="仿宋_GB2312" w:hAnsi="仿宋_GB2312" w:eastAsia="仿宋_GB2312" w:cs="仿宋_GB2312"/>
          <w:b w:val="0"/>
          <w:bCs w:val="0"/>
          <w:color w:val="auto"/>
          <w:sz w:val="32"/>
          <w:szCs w:val="32"/>
          <w:lang w:val="en-US" w:eastAsia="zh-CN"/>
        </w:rPr>
        <w:t>，</w:t>
      </w:r>
      <w:r>
        <w:rPr>
          <w:rFonts w:hint="eastAsia" w:ascii="仿宋_GB2312" w:hAnsi="仿宋_GB2312" w:cs="仿宋_GB2312"/>
          <w:b w:val="0"/>
          <w:bCs w:val="0"/>
          <w:color w:val="auto"/>
          <w:sz w:val="32"/>
          <w:szCs w:val="32"/>
          <w:highlight w:val="none"/>
          <w:lang w:val="en-US" w:eastAsia="zh-CN"/>
        </w:rPr>
        <w:t>1-11月全县实现网络零售额增长45.4%。</w:t>
      </w:r>
    </w:p>
    <w:p w14:paraId="010A2032">
      <w:pPr>
        <w:pStyle w:val="2"/>
        <w:keepNext w:val="0"/>
        <w:keepLines w:val="0"/>
        <w:pageBreakBefore w:val="0"/>
        <w:widowControl w:val="0"/>
        <w:kinsoku/>
        <w:wordWrap/>
        <w:overflowPunct/>
        <w:topLinePunct w:val="0"/>
        <w:autoSpaceDE/>
        <w:autoSpaceDN/>
        <w:bidi w:val="0"/>
        <w:adjustRightInd/>
        <w:snapToGrid/>
        <w:spacing w:line="560" w:lineRule="exact"/>
        <w:ind w:firstLineChars="200"/>
        <w:jc w:val="both"/>
        <w:textAlignment w:val="auto"/>
        <w:rPr>
          <w:rFonts w:hint="eastAsia" w:ascii="楷体_GB2312" w:hAnsi="楷体_GB2312" w:eastAsia="楷体_GB2312" w:cs="楷体_GB2312"/>
          <w:color w:val="auto"/>
          <w:sz w:val="32"/>
          <w:szCs w:val="32"/>
          <w:lang w:eastAsia="zh-CN"/>
        </w:rPr>
      </w:pPr>
      <w:r>
        <w:rPr>
          <w:rFonts w:hint="eastAsia" w:ascii="楷体_GB2312" w:hAnsi="楷体_GB2312" w:eastAsia="楷体_GB2312" w:cs="楷体_GB2312"/>
          <w:b/>
          <w:bCs/>
          <w:color w:val="auto"/>
          <w:sz w:val="32"/>
          <w:szCs w:val="32"/>
        </w:rPr>
        <w:t>（三）聚焦改革纵深推进，内生动力持续释放</w:t>
      </w:r>
    </w:p>
    <w:p w14:paraId="1EDE8B82">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rPr>
        <w:t>一是营商环境</w:t>
      </w:r>
      <w:r>
        <w:rPr>
          <w:rFonts w:hint="eastAsia" w:ascii="仿宋_GB2312" w:hAnsi="仿宋_GB2312" w:eastAsia="仿宋_GB2312" w:cs="仿宋_GB2312"/>
          <w:b/>
          <w:bCs/>
          <w:color w:val="auto"/>
          <w:sz w:val="32"/>
          <w:szCs w:val="32"/>
          <w:lang w:val="en-US" w:eastAsia="zh-CN"/>
        </w:rPr>
        <w:t>更加优化</w:t>
      </w:r>
      <w:r>
        <w:rPr>
          <w:rFonts w:hint="eastAsia" w:ascii="仿宋_GB2312" w:hAnsi="仿宋_GB2312" w:eastAsia="仿宋_GB2312" w:cs="仿宋_GB2312"/>
          <w:b/>
          <w:bCs/>
          <w:color w:val="auto"/>
          <w:sz w:val="32"/>
          <w:szCs w:val="32"/>
        </w:rPr>
        <w:t>。</w:t>
      </w:r>
      <w:r>
        <w:rPr>
          <w:rFonts w:hint="eastAsia" w:ascii="仿宋_GB2312" w:hAnsi="仿宋_GB2312" w:eastAsia="仿宋_GB2312" w:cs="仿宋_GB2312"/>
          <w:color w:val="auto"/>
          <w:sz w:val="32"/>
          <w:szCs w:val="32"/>
          <w:lang w:val="en-US" w:eastAsia="zh-CN"/>
        </w:rPr>
        <w:t>持续擦亮“余快办”营商环境品牌，我县在2023年全省营商环境评价排名第31名，较2022年前进19名。</w:t>
      </w:r>
      <w:r>
        <w:rPr>
          <w:rFonts w:hint="eastAsia" w:ascii="宋体" w:hAnsi="宋体" w:eastAsia="仿宋_GB2312" w:cs="仿宋_GB2312"/>
          <w:color w:val="auto"/>
          <w:sz w:val="32"/>
          <w:szCs w:val="32"/>
          <w:highlight w:val="none"/>
          <w:u w:val="none" w:color="auto"/>
          <w:lang w:val="en-US" w:eastAsia="zh-CN"/>
        </w:rPr>
        <w:t>全面落实企业“安静生产期”制度，</w:t>
      </w:r>
      <w:r>
        <w:rPr>
          <w:rFonts w:hint="eastAsia" w:ascii="仿宋_GB2312" w:hAnsi="仿宋_GB2312" w:eastAsia="仿宋_GB2312" w:cs="仿宋_GB2312"/>
          <w:color w:val="auto"/>
          <w:sz w:val="32"/>
          <w:szCs w:val="32"/>
          <w:lang w:val="en-US" w:eastAsia="zh-CN"/>
        </w:rPr>
        <w:t>赋予园区县级经济管理权限82项，</w:t>
      </w:r>
      <w:r>
        <w:rPr>
          <w:rFonts w:hint="eastAsia" w:ascii="仿宋_GB2312" w:hAnsi="仿宋_GB2312" w:eastAsia="仿宋_GB2312" w:cs="仿宋_GB2312"/>
          <w:color w:val="auto"/>
          <w:sz w:val="32"/>
          <w:szCs w:val="32"/>
        </w:rPr>
        <w:t>打造“15分钟+24小时”县乡一体政务服务圈</w:t>
      </w:r>
      <w:r>
        <w:rPr>
          <w:rFonts w:hint="eastAsia" w:ascii="仿宋_GB2312" w:hAnsi="仿宋_GB2312" w:eastAsia="仿宋_GB2312" w:cs="仿宋_GB2312"/>
          <w:color w:val="auto"/>
          <w:sz w:val="32"/>
          <w:szCs w:val="32"/>
          <w:lang w:eastAsia="zh-CN"/>
        </w:rPr>
        <w:t>，梳理公布第一批涉企增值服务事项清单42项，“高效办成一件事”办件量达</w:t>
      </w:r>
      <w:r>
        <w:rPr>
          <w:rFonts w:hint="eastAsia" w:ascii="仿宋_GB2312" w:hAnsi="仿宋_GB2312" w:eastAsia="仿宋_GB2312" w:cs="仿宋_GB2312"/>
          <w:color w:val="auto"/>
          <w:sz w:val="32"/>
          <w:szCs w:val="32"/>
          <w:lang w:val="en-US" w:eastAsia="zh-CN"/>
        </w:rPr>
        <w:t>8273</w:t>
      </w:r>
      <w:r>
        <w:rPr>
          <w:rFonts w:hint="eastAsia" w:ascii="仿宋_GB2312" w:hAnsi="仿宋_GB2312" w:eastAsia="仿宋_GB2312" w:cs="仿宋_GB2312"/>
          <w:color w:val="auto"/>
          <w:sz w:val="32"/>
          <w:szCs w:val="40"/>
        </w:rPr>
        <w:t>件</w:t>
      </w:r>
      <w:r>
        <w:rPr>
          <w:rFonts w:hint="eastAsia" w:ascii="仿宋_GB2312" w:hAnsi="仿宋_GB2312" w:eastAsia="仿宋_GB2312" w:cs="仿宋_GB2312"/>
          <w:color w:val="auto"/>
          <w:sz w:val="32"/>
          <w:szCs w:val="40"/>
          <w:lang w:eastAsia="zh-CN"/>
        </w:rPr>
        <w:t>，</w:t>
      </w:r>
      <w:r>
        <w:rPr>
          <w:rFonts w:hint="eastAsia" w:ascii="仿宋_GB2312" w:hAnsi="仿宋_GB2312" w:eastAsia="仿宋_GB2312" w:cs="仿宋_GB2312"/>
          <w:color w:val="auto"/>
          <w:sz w:val="32"/>
          <w:szCs w:val="32"/>
          <w:highlight w:val="none"/>
          <w:lang w:eastAsia="zh-CN"/>
        </w:rPr>
        <w:t>全年累计为</w:t>
      </w:r>
      <w:r>
        <w:rPr>
          <w:rFonts w:hint="eastAsia" w:ascii="仿宋_GB2312" w:hAnsi="仿宋_GB2312" w:eastAsia="仿宋_GB2312" w:cs="仿宋_GB2312"/>
          <w:color w:val="auto"/>
          <w:sz w:val="32"/>
          <w:szCs w:val="32"/>
          <w:highlight w:val="none"/>
          <w:lang w:val="en-US" w:eastAsia="zh-CN"/>
        </w:rPr>
        <w:t>72</w:t>
      </w:r>
      <w:r>
        <w:rPr>
          <w:rFonts w:hint="eastAsia" w:ascii="仿宋_GB2312" w:hAnsi="仿宋_GB2312" w:eastAsia="仿宋_GB2312" w:cs="仿宋_GB2312"/>
          <w:color w:val="auto"/>
          <w:sz w:val="32"/>
          <w:szCs w:val="32"/>
          <w:highlight w:val="none"/>
          <w:lang w:eastAsia="zh-CN"/>
        </w:rPr>
        <w:t>家企业兑现惠企政策资金</w:t>
      </w:r>
      <w:r>
        <w:rPr>
          <w:rFonts w:hint="eastAsia" w:ascii="仿宋_GB2312" w:hAnsi="仿宋_GB2312" w:eastAsia="仿宋_GB2312" w:cs="仿宋_GB2312"/>
          <w:color w:val="auto"/>
          <w:sz w:val="32"/>
          <w:szCs w:val="32"/>
          <w:highlight w:val="none"/>
          <w:lang w:val="en-US" w:eastAsia="zh-CN"/>
        </w:rPr>
        <w:t>2300余</w:t>
      </w:r>
      <w:r>
        <w:rPr>
          <w:rFonts w:hint="eastAsia" w:ascii="仿宋_GB2312" w:hAnsi="仿宋_GB2312" w:eastAsia="仿宋_GB2312" w:cs="仿宋_GB2312"/>
          <w:color w:val="auto"/>
          <w:sz w:val="32"/>
          <w:szCs w:val="32"/>
          <w:highlight w:val="none"/>
          <w:lang w:eastAsia="zh-CN"/>
        </w:rPr>
        <w:t>万元。</w:t>
      </w:r>
      <w:r>
        <w:rPr>
          <w:rFonts w:hint="eastAsia" w:ascii="仿宋_GB2312" w:hAnsi="仿宋_GB2312" w:eastAsia="仿宋_GB2312" w:cs="仿宋_GB2312"/>
          <w:color w:val="auto"/>
          <w:sz w:val="32"/>
          <w:szCs w:val="32"/>
          <w:lang w:eastAsia="zh-CN"/>
        </w:rPr>
        <w:t>创新推出“乡村建房一件事”改革，率先</w:t>
      </w:r>
      <w:r>
        <w:rPr>
          <w:rFonts w:hint="eastAsia" w:ascii="仿宋_GB2312" w:hAnsi="仿宋_GB2312" w:eastAsia="仿宋_GB2312" w:cs="仿宋_GB2312"/>
          <w:color w:val="auto"/>
          <w:sz w:val="32"/>
          <w:szCs w:val="40"/>
        </w:rPr>
        <w:t>推行村级不动产登记，</w:t>
      </w:r>
      <w:r>
        <w:rPr>
          <w:rFonts w:hint="eastAsia" w:ascii="仿宋_GB2312" w:hAnsi="仿宋_GB2312" w:eastAsia="仿宋_GB2312" w:cs="仿宋_GB2312"/>
          <w:color w:val="auto"/>
          <w:sz w:val="32"/>
          <w:szCs w:val="32"/>
          <w:lang w:eastAsia="zh-CN"/>
        </w:rPr>
        <w:t>打通服务群众“最后一公里”，乡村建房</w:t>
      </w:r>
      <w:r>
        <w:rPr>
          <w:rFonts w:hint="eastAsia" w:ascii="仿宋_GB2312" w:hAnsi="仿宋_GB2312" w:eastAsia="仿宋_GB2312" w:cs="仿宋_GB2312"/>
          <w:sz w:val="32"/>
          <w:szCs w:val="32"/>
          <w:lang w:eastAsia="zh-CN"/>
        </w:rPr>
        <w:t>办理时间缩短70%以上、申报材料减少50%。</w:t>
      </w:r>
      <w:r>
        <w:rPr>
          <w:rFonts w:hint="eastAsia" w:ascii="仿宋_GB2312" w:hAnsi="仿宋_GB2312" w:eastAsia="仿宋_GB2312" w:cs="仿宋_GB2312"/>
          <w:color w:val="auto"/>
          <w:sz w:val="32"/>
          <w:szCs w:val="32"/>
          <w:lang w:eastAsia="zh-CN"/>
        </w:rPr>
        <w:t>《赣州市大余县探索企业维权服务新模式》在国家</w:t>
      </w:r>
      <w:r>
        <w:rPr>
          <w:rFonts w:hint="eastAsia" w:ascii="仿宋_GB2312" w:hAnsi="仿宋_GB2312" w:eastAsia="仿宋_GB2312" w:cs="仿宋_GB2312"/>
          <w:color w:val="auto"/>
          <w:sz w:val="32"/>
          <w:szCs w:val="32"/>
          <w:lang w:val="en-US" w:eastAsia="zh-CN"/>
        </w:rPr>
        <w:t>发展改革</w:t>
      </w:r>
      <w:r>
        <w:rPr>
          <w:rFonts w:hint="eastAsia" w:ascii="仿宋_GB2312" w:hAnsi="仿宋_GB2312" w:eastAsia="仿宋_GB2312" w:cs="仿宋_GB2312"/>
          <w:color w:val="auto"/>
          <w:sz w:val="32"/>
          <w:szCs w:val="32"/>
          <w:lang w:eastAsia="zh-CN"/>
        </w:rPr>
        <w:t>委《改革内参》刊登。大余县某矿业公司等四家企业合并破产重整案作为江西省唯一案例入选最高人民法院服务和保障新质生产力发展典型案例。</w:t>
      </w:r>
    </w:p>
    <w:p w14:paraId="21444FC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二是</w:t>
      </w:r>
      <w:r>
        <w:rPr>
          <w:rFonts w:hint="eastAsia" w:ascii="仿宋_GB2312" w:hAnsi="仿宋_GB2312" w:eastAsia="仿宋_GB2312" w:cs="仿宋_GB2312"/>
          <w:b/>
          <w:bCs/>
          <w:color w:val="auto"/>
          <w:sz w:val="32"/>
          <w:szCs w:val="32"/>
          <w:lang w:eastAsia="zh-CN"/>
        </w:rPr>
        <w:t>对外开放走深走实</w:t>
      </w:r>
      <w:r>
        <w:rPr>
          <w:rFonts w:hint="eastAsia" w:ascii="仿宋_GB2312" w:hAnsi="仿宋_GB2312" w:eastAsia="仿宋_GB2312" w:cs="仿宋_GB2312"/>
          <w:b/>
          <w:bCs/>
          <w:color w:val="auto"/>
          <w:sz w:val="32"/>
          <w:szCs w:val="32"/>
        </w:rPr>
        <w:t>。</w:t>
      </w:r>
      <w:r>
        <w:rPr>
          <w:rFonts w:hint="eastAsia" w:ascii="仿宋_GB2312" w:hAnsi="仿宋_GB2312" w:eastAsia="仿宋_GB2312" w:cs="仿宋_GB2312"/>
          <w:color w:val="auto"/>
          <w:sz w:val="32"/>
          <w:szCs w:val="32"/>
          <w:lang w:val="en-US" w:eastAsia="zh-CN"/>
        </w:rPr>
        <w:t>深赣对口合作更加紧密，</w:t>
      </w:r>
      <w:r>
        <w:rPr>
          <w:rFonts w:hint="eastAsia" w:ascii="仿宋_GB2312" w:hAnsi="仿宋_GB2312" w:eastAsia="仿宋_GB2312" w:cs="仿宋_GB2312"/>
          <w:color w:val="auto"/>
          <w:sz w:val="32"/>
          <w:szCs w:val="32"/>
        </w:rPr>
        <w:t>与深圳市大鹏新区建立结对合作关系，</w:t>
      </w:r>
      <w:r>
        <w:rPr>
          <w:rFonts w:hint="eastAsia" w:ascii="仿宋_GB2312" w:hAnsi="仿宋_GB2312" w:eastAsia="仿宋_GB2312" w:cs="仿宋_GB2312"/>
          <w:b w:val="0"/>
          <w:i w:val="0"/>
          <w:caps w:val="0"/>
          <w:color w:val="auto"/>
          <w:spacing w:val="0"/>
          <w:w w:val="100"/>
          <w:kern w:val="2"/>
          <w:sz w:val="32"/>
          <w:szCs w:val="32"/>
          <w:lang w:val="en-US" w:eastAsia="zh-CN" w:bidi="ar-SA"/>
        </w:rPr>
        <w:t>为全市仅有的10个县（市、区）之一，我县与</w:t>
      </w:r>
      <w:r>
        <w:rPr>
          <w:rFonts w:hint="eastAsia" w:ascii="仿宋_GB2312" w:hAnsi="仿宋_GB2312" w:eastAsia="仿宋_GB2312" w:cs="仿宋_GB2312"/>
          <w:color w:val="auto"/>
          <w:sz w:val="32"/>
          <w:szCs w:val="32"/>
        </w:rPr>
        <w:t>大鹏新区</w:t>
      </w:r>
      <w:r>
        <w:rPr>
          <w:rFonts w:hint="eastAsia" w:ascii="仿宋_GB2312" w:hAnsi="仿宋_GB2312" w:eastAsia="仿宋_GB2312" w:cs="仿宋_GB2312"/>
          <w:color w:val="auto"/>
          <w:sz w:val="32"/>
          <w:szCs w:val="32"/>
          <w:lang w:eastAsia="zh-CN"/>
        </w:rPr>
        <w:t>合作框架协议基本形成，</w:t>
      </w:r>
      <w:r>
        <w:rPr>
          <w:rFonts w:hint="eastAsia" w:ascii="仿宋_GB2312" w:hAnsi="仿宋_GB2312" w:eastAsia="仿宋_GB2312" w:cs="仿宋_GB2312"/>
          <w:color w:val="auto"/>
          <w:sz w:val="32"/>
          <w:szCs w:val="32"/>
          <w:lang w:val="en-US" w:eastAsia="zh-CN"/>
        </w:rPr>
        <w:t>开创了“老区+特区”合作发展新局面。与深圳市光明区、大鹏新区等签署“跨省通办”合作协议，99个高频事项被纳入“跨省通办”。县总医院人民医院院区与香港中文大学（深圳）附属第二医院签订对口帮扶协议，县总医院妇女儿童院区（县妇幼保健院）与深圳市宝安区妇幼保健院开启医联体合作并正式揭牌。</w:t>
      </w:r>
      <w:r>
        <w:rPr>
          <w:rFonts w:hint="eastAsia" w:ascii="仿宋_GB2312" w:hAnsi="仿宋_GB2312" w:eastAsia="仿宋_GB2312" w:cs="仿宋_GB2312"/>
          <w:color w:val="auto"/>
          <w:sz w:val="32"/>
          <w:szCs w:val="32"/>
          <w:lang w:eastAsia="zh-CN"/>
        </w:rPr>
        <w:t>出台</w:t>
      </w:r>
      <w:r>
        <w:rPr>
          <w:rFonts w:hint="eastAsia" w:ascii="仿宋_GB2312" w:hAnsi="仿宋_GB2312" w:eastAsia="仿宋_GB2312" w:cs="仿宋_GB2312"/>
          <w:color w:val="auto"/>
          <w:spacing w:val="0"/>
          <w:sz w:val="32"/>
          <w:szCs w:val="32"/>
        </w:rPr>
        <w:t>推进跨境电子商务</w:t>
      </w:r>
      <w:r>
        <w:rPr>
          <w:rFonts w:hint="eastAsia" w:ascii="仿宋_GB2312" w:hAnsi="仿宋_GB2312" w:eastAsia="仿宋_GB2312" w:cs="仿宋_GB2312"/>
          <w:color w:val="auto"/>
          <w:spacing w:val="0"/>
          <w:sz w:val="32"/>
          <w:szCs w:val="32"/>
          <w:lang w:eastAsia="zh-CN"/>
        </w:rPr>
        <w:t>政策措施，</w:t>
      </w:r>
      <w:r>
        <w:rPr>
          <w:rFonts w:hint="eastAsia" w:ascii="仿宋_GB2312" w:hAnsi="仿宋_GB2312" w:eastAsia="仿宋_GB2312" w:cs="仿宋_GB2312"/>
          <w:color w:val="auto"/>
          <w:sz w:val="32"/>
          <w:szCs w:val="32"/>
        </w:rPr>
        <w:t>组织东宏锡制品、欧盛电子等</w:t>
      </w:r>
      <w:r>
        <w:rPr>
          <w:rFonts w:hint="eastAsia" w:ascii="仿宋_GB2312" w:hAnsi="仿宋_GB2312" w:eastAsia="仿宋_GB2312" w:cs="仿宋_GB2312"/>
          <w:color w:val="auto"/>
          <w:sz w:val="32"/>
          <w:szCs w:val="32"/>
          <w:lang w:eastAsia="zh-CN"/>
        </w:rPr>
        <w:t>出口型</w:t>
      </w:r>
      <w:r>
        <w:rPr>
          <w:rFonts w:hint="eastAsia" w:ascii="仿宋_GB2312" w:hAnsi="仿宋_GB2312" w:eastAsia="仿宋_GB2312" w:cs="仿宋_GB2312"/>
          <w:color w:val="auto"/>
          <w:sz w:val="32"/>
          <w:szCs w:val="32"/>
        </w:rPr>
        <w:t>企业参加境内外展会。</w:t>
      </w:r>
    </w:p>
    <w:p w14:paraId="482E24B3">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rPr>
        <w:t>三是科技创新加持赋能。</w:t>
      </w:r>
      <w:r>
        <w:rPr>
          <w:rFonts w:hint="eastAsia" w:ascii="仿宋_GB2312" w:hAnsi="仿宋_GB2312" w:eastAsia="仿宋_GB2312" w:cs="仿宋_GB2312"/>
          <w:color w:val="auto"/>
          <w:sz w:val="32"/>
          <w:szCs w:val="32"/>
        </w:rPr>
        <w:t>赣州市科技成果转化中心钨新材料及应用分中心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kern w:val="2"/>
          <w:sz w:val="32"/>
          <w:szCs w:val="32"/>
          <w:lang w:val="en-US" w:eastAsia="zh-CN" w:bidi="ar-SA"/>
        </w:rPr>
        <w:t>新能源新材料中试基地正式揭牌运行，高比重钨合金热处理技术、纳米稀土氧化物制备技术等科技成果在大余签约转化。</w:t>
      </w:r>
      <w:r>
        <w:rPr>
          <w:rFonts w:hint="eastAsia" w:ascii="仿宋_GB2312" w:hAnsi="仿宋_GB2312" w:eastAsia="仿宋_GB2312" w:cs="仿宋_GB2312"/>
          <w:color w:val="auto"/>
          <w:sz w:val="32"/>
          <w:szCs w:val="32"/>
        </w:rPr>
        <w:t>持续培育壮大创新主体</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新增市级以上创新平台6家、省级</w:t>
      </w:r>
      <w:r>
        <w:rPr>
          <w:rFonts w:hint="eastAsia" w:ascii="仿宋_GB2312" w:hAnsi="仿宋_GB2312" w:eastAsia="仿宋_GB2312" w:cs="仿宋_GB2312"/>
          <w:color w:val="auto"/>
          <w:sz w:val="32"/>
          <w:szCs w:val="32"/>
          <w:lang w:eastAsia="zh-CN"/>
        </w:rPr>
        <w:t>创新型中小企业</w:t>
      </w:r>
      <w:r>
        <w:rPr>
          <w:rFonts w:hint="eastAsia" w:ascii="仿宋_GB2312" w:hAnsi="仿宋_GB2312" w:eastAsia="仿宋_GB2312" w:cs="仿宋_GB2312"/>
          <w:color w:val="auto"/>
          <w:sz w:val="32"/>
          <w:szCs w:val="32"/>
          <w:lang w:val="en-US" w:eastAsia="zh-CN"/>
        </w:rPr>
        <w:t>20</w:t>
      </w:r>
      <w:r>
        <w:rPr>
          <w:rFonts w:hint="eastAsia" w:ascii="仿宋_GB2312" w:hAnsi="仿宋_GB2312" w:eastAsia="仿宋_GB2312" w:cs="仿宋_GB2312"/>
          <w:color w:val="auto"/>
          <w:sz w:val="32"/>
          <w:szCs w:val="32"/>
          <w:lang w:eastAsia="zh-CN"/>
        </w:rPr>
        <w:t>家、</w:t>
      </w:r>
      <w:r>
        <w:rPr>
          <w:rFonts w:hint="eastAsia" w:ascii="仿宋_GB2312" w:hAnsi="仿宋_GB2312" w:eastAsia="仿宋_GB2312" w:cs="仿宋_GB2312"/>
          <w:color w:val="auto"/>
          <w:sz w:val="32"/>
          <w:szCs w:val="32"/>
          <w:lang w:val="en-US" w:eastAsia="zh-CN"/>
        </w:rPr>
        <w:t>省级</w:t>
      </w:r>
      <w:r>
        <w:rPr>
          <w:rFonts w:hint="eastAsia" w:ascii="仿宋_GB2312" w:hAnsi="仿宋_GB2312" w:eastAsia="仿宋_GB2312" w:cs="仿宋_GB2312"/>
          <w:color w:val="auto"/>
          <w:sz w:val="32"/>
          <w:szCs w:val="32"/>
          <w:lang w:eastAsia="zh-CN"/>
        </w:rPr>
        <w:t>专精特新中小企业9家，</w:t>
      </w:r>
      <w:r>
        <w:rPr>
          <w:rFonts w:hint="eastAsia" w:ascii="仿宋_GB2312" w:hAnsi="仿宋_GB2312" w:eastAsia="仿宋_GB2312" w:cs="仿宋_GB2312"/>
          <w:color w:val="auto"/>
          <w:sz w:val="32"/>
          <w:szCs w:val="32"/>
        </w:rPr>
        <w:t>入库备案国家科技型中小企业</w:t>
      </w:r>
      <w:r>
        <w:rPr>
          <w:rFonts w:hint="eastAsia" w:ascii="仿宋_GB2312" w:hAnsi="仿宋_GB2312" w:eastAsia="仿宋_GB2312" w:cs="仿宋_GB2312"/>
          <w:color w:val="auto"/>
          <w:sz w:val="32"/>
          <w:szCs w:val="32"/>
          <w:lang w:eastAsia="zh-CN"/>
        </w:rPr>
        <w:t>达</w:t>
      </w:r>
      <w:r>
        <w:rPr>
          <w:rFonts w:hint="eastAsia" w:ascii="仿宋_GB2312" w:hAnsi="仿宋_GB2312" w:eastAsia="仿宋_GB2312" w:cs="仿宋_GB2312"/>
          <w:color w:val="auto"/>
          <w:sz w:val="32"/>
          <w:szCs w:val="32"/>
        </w:rPr>
        <w:t>111家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kern w:val="2"/>
          <w:sz w:val="32"/>
          <w:szCs w:val="32"/>
          <w:lang w:val="en-US" w:eastAsia="zh-CN" w:bidi="ar-SA"/>
        </w:rPr>
        <w:t>江西悦锂入选种子独角兽企业。</w:t>
      </w:r>
      <w:r>
        <w:rPr>
          <w:rFonts w:hint="eastAsia" w:ascii="仿宋_GB2312" w:hAnsi="仿宋_GB2312" w:eastAsia="仿宋_GB2312" w:cs="仿宋_GB2312"/>
          <w:color w:val="auto"/>
          <w:sz w:val="32"/>
          <w:szCs w:val="32"/>
          <w:lang w:eastAsia="zh-CN"/>
        </w:rPr>
        <w:t>全县</w:t>
      </w:r>
      <w:r>
        <w:rPr>
          <w:rFonts w:hint="eastAsia" w:ascii="仿宋_GB2312" w:hAnsi="仿宋_GB2312" w:eastAsia="仿宋_GB2312" w:cs="仿宋_GB2312"/>
          <w:color w:val="auto"/>
          <w:sz w:val="32"/>
          <w:szCs w:val="32"/>
        </w:rPr>
        <w:t>技术交易额</w:t>
      </w:r>
      <w:r>
        <w:rPr>
          <w:rFonts w:hint="eastAsia" w:ascii="仿宋_GB2312" w:hAnsi="仿宋_GB2312" w:eastAsia="仿宋_GB2312" w:cs="仿宋_GB2312"/>
          <w:color w:val="auto"/>
          <w:sz w:val="32"/>
          <w:szCs w:val="32"/>
          <w:lang w:val="en-US" w:eastAsia="zh-CN"/>
        </w:rPr>
        <w:t>13.19</w:t>
      </w:r>
      <w:r>
        <w:rPr>
          <w:rFonts w:hint="eastAsia" w:ascii="仿宋_GB2312" w:hAnsi="仿宋_GB2312" w:eastAsia="仿宋_GB2312" w:cs="仿宋_GB2312"/>
          <w:color w:val="auto"/>
          <w:sz w:val="32"/>
          <w:szCs w:val="32"/>
        </w:rPr>
        <w:t>亿元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增长</w:t>
      </w:r>
      <w:r>
        <w:rPr>
          <w:rFonts w:hint="eastAsia" w:ascii="仿宋_GB2312" w:hAnsi="仿宋_GB2312" w:eastAsia="仿宋_GB2312" w:cs="仿宋_GB2312"/>
          <w:color w:val="auto"/>
          <w:sz w:val="32"/>
          <w:szCs w:val="32"/>
          <w:lang w:val="en-US" w:eastAsia="zh-CN"/>
        </w:rPr>
        <w:t>33.1</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2023年全社会研发投入反馈数占GDP</w:t>
      </w:r>
      <w:r>
        <w:rPr>
          <w:rFonts w:hint="eastAsia" w:ascii="仿宋_GB2312" w:hAnsi="仿宋_GB2312" w:eastAsia="仿宋_GB2312" w:cs="仿宋_GB2312"/>
          <w:color w:val="auto"/>
          <w:sz w:val="32"/>
          <w:szCs w:val="32"/>
          <w:lang w:val="en-US" w:eastAsia="zh-CN"/>
        </w:rPr>
        <w:t>比重</w:t>
      </w:r>
      <w:r>
        <w:rPr>
          <w:rFonts w:hint="eastAsia" w:ascii="仿宋_GB2312" w:hAnsi="仿宋_GB2312" w:eastAsia="仿宋_GB2312" w:cs="仿宋_GB2312"/>
          <w:color w:val="auto"/>
          <w:sz w:val="32"/>
          <w:szCs w:val="32"/>
          <w:lang w:eastAsia="zh-CN"/>
        </w:rPr>
        <w:t>为</w:t>
      </w:r>
      <w:r>
        <w:rPr>
          <w:rFonts w:hint="eastAsia" w:ascii="仿宋_GB2312" w:hAnsi="仿宋_GB2312" w:eastAsia="仿宋_GB2312" w:cs="仿宋_GB2312"/>
          <w:color w:val="auto"/>
          <w:sz w:val="32"/>
          <w:szCs w:val="32"/>
        </w:rPr>
        <w:t>1.82%，</w:t>
      </w:r>
      <w:r>
        <w:rPr>
          <w:rFonts w:hint="eastAsia" w:ascii="仿宋_GB2312" w:hAnsi="仿宋_GB2312" w:eastAsia="仿宋_GB2312" w:cs="仿宋_GB2312"/>
          <w:color w:val="auto"/>
          <w:sz w:val="32"/>
          <w:szCs w:val="32"/>
          <w:lang w:eastAsia="zh-CN"/>
        </w:rPr>
        <w:t>同比提高</w:t>
      </w:r>
      <w:r>
        <w:rPr>
          <w:rFonts w:hint="eastAsia" w:ascii="仿宋_GB2312" w:hAnsi="仿宋_GB2312" w:eastAsia="仿宋_GB2312" w:cs="仿宋_GB2312"/>
          <w:color w:val="auto"/>
          <w:sz w:val="32"/>
          <w:szCs w:val="32"/>
          <w:lang w:val="en-US" w:eastAsia="zh-CN"/>
        </w:rPr>
        <w:t>0.58个百分点，首次</w:t>
      </w:r>
      <w:r>
        <w:rPr>
          <w:rFonts w:hint="eastAsia" w:ascii="仿宋_GB2312" w:hAnsi="仿宋_GB2312" w:eastAsia="仿宋_GB2312" w:cs="仿宋_GB2312"/>
          <w:color w:val="auto"/>
          <w:sz w:val="32"/>
          <w:szCs w:val="32"/>
        </w:rPr>
        <w:t>超过全市平均水平</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kern w:val="2"/>
          <w:sz w:val="32"/>
          <w:szCs w:val="32"/>
          <w:lang w:val="en-US" w:eastAsia="zh-CN" w:bidi="ar-SA"/>
        </w:rPr>
        <w:t>鼓励支持企业柔性引才，29名市外工程领域技术人才认定为我县“周末工程师”。悦安新材、钨产业技术研究院入选省博士后创新实践基地。</w:t>
      </w:r>
    </w:p>
    <w:p w14:paraId="65FC15F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color w:val="auto"/>
          <w:sz w:val="32"/>
          <w:szCs w:val="32"/>
          <w:lang w:eastAsia="zh-CN"/>
        </w:rPr>
      </w:pPr>
      <w:r>
        <w:rPr>
          <w:rFonts w:hint="eastAsia" w:ascii="楷体_GB2312" w:hAnsi="楷体_GB2312" w:eastAsia="楷体_GB2312" w:cs="楷体_GB2312"/>
          <w:b/>
          <w:bCs/>
          <w:color w:val="auto"/>
          <w:sz w:val="32"/>
          <w:szCs w:val="32"/>
        </w:rPr>
        <w:t>（四）聚焦城乡融合发展，绿色底蕴更加浓厚</w:t>
      </w:r>
    </w:p>
    <w:p w14:paraId="02CFFD56">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kern w:val="2"/>
          <w:sz w:val="32"/>
          <w:szCs w:val="22"/>
          <w:lang w:val="en-US" w:eastAsia="zh-CN" w:bidi="ar"/>
        </w:rPr>
      </w:pPr>
      <w:r>
        <w:rPr>
          <w:rFonts w:hint="eastAsia" w:ascii="仿宋_GB2312" w:hAnsi="仿宋_GB2312" w:eastAsia="仿宋_GB2312" w:cs="仿宋_GB2312"/>
          <w:b/>
          <w:bCs/>
          <w:color w:val="auto"/>
          <w:sz w:val="32"/>
          <w:szCs w:val="32"/>
        </w:rPr>
        <w:t>一是城市功能持续完善。</w:t>
      </w:r>
      <w:r>
        <w:rPr>
          <w:rFonts w:hint="eastAsia" w:ascii="仿宋_GB2312" w:hAnsi="Times New Roman" w:eastAsia="仿宋_GB2312" w:cs="Times New Roman"/>
          <w:color w:val="auto"/>
          <w:sz w:val="32"/>
          <w:szCs w:val="32"/>
          <w:lang w:val="en-US" w:eastAsia="zh-CN"/>
        </w:rPr>
        <w:t>《大余县国土空间总体规划（2021-2035年）》获省人民政府批准同意。</w:t>
      </w:r>
      <w:r>
        <w:rPr>
          <w:rFonts w:hint="eastAsia" w:ascii="仿宋_GB2312" w:eastAsia="仿宋_GB2312"/>
          <w:b w:val="0"/>
          <w:bCs w:val="0"/>
          <w:color w:val="auto"/>
          <w:sz w:val="32"/>
          <w:szCs w:val="32"/>
          <w:lang w:val="en-US" w:eastAsia="zh-CN"/>
        </w:rPr>
        <w:t>城区排水防涝设施建设、</w:t>
      </w:r>
      <w:r>
        <w:rPr>
          <w:rFonts w:hint="eastAsia" w:ascii="仿宋_GB2312" w:hAnsi="仿宋_GB2312" w:eastAsia="仿宋_GB2312" w:cs="仿宋_GB2312"/>
          <w:color w:val="auto"/>
          <w:kern w:val="2"/>
          <w:sz w:val="32"/>
          <w:szCs w:val="32"/>
          <w:lang w:val="en-US" w:eastAsia="zh-CN" w:bidi="ar-SA"/>
        </w:rPr>
        <w:t>城区供水管网改造提升（一期）</w:t>
      </w:r>
      <w:r>
        <w:rPr>
          <w:rFonts w:hint="eastAsia" w:ascii="宋体" w:hAnsi="宋体" w:eastAsia="仿宋_GB2312" w:cs="仿宋_GB2312"/>
          <w:b w:val="0"/>
          <w:bCs w:val="0"/>
          <w:color w:val="auto"/>
          <w:sz w:val="32"/>
          <w:szCs w:val="32"/>
          <w:lang w:val="en-US" w:eastAsia="zh-CN"/>
        </w:rPr>
        <w:t>、</w:t>
      </w:r>
      <w:r>
        <w:rPr>
          <w:rFonts w:hint="eastAsia" w:ascii="仿宋_GB2312" w:hAnsi="仿宋_GB2312" w:eastAsia="仿宋_GB2312" w:cs="仿宋_GB2312"/>
          <w:color w:val="auto"/>
          <w:kern w:val="2"/>
          <w:sz w:val="32"/>
          <w:szCs w:val="32"/>
          <w:lang w:val="en-US" w:eastAsia="zh-CN" w:bidi="ar-SA"/>
        </w:rPr>
        <w:t>智慧停车</w:t>
      </w:r>
      <w:r>
        <w:rPr>
          <w:rFonts w:hint="eastAsia" w:ascii="仿宋_GB2312" w:hAnsi="仿宋_GB2312" w:eastAsia="仿宋_GB2312" w:cs="仿宋_GB2312"/>
          <w:b w:val="0"/>
          <w:bCs w:val="0"/>
          <w:color w:val="auto"/>
          <w:sz w:val="32"/>
          <w:szCs w:val="32"/>
          <w:lang w:val="en-US" w:eastAsia="zh-CN"/>
        </w:rPr>
        <w:t>等项目稳步实施，改造老旧小区2个、建设污水管网64公里、</w:t>
      </w:r>
      <w:r>
        <w:rPr>
          <w:rFonts w:hint="eastAsia" w:ascii="仿宋_GB2312" w:eastAsia="仿宋_GB2312"/>
          <w:b w:val="0"/>
          <w:bCs w:val="0"/>
          <w:color w:val="auto"/>
          <w:sz w:val="32"/>
          <w:szCs w:val="32"/>
          <w:lang w:val="en-US" w:eastAsia="zh-CN"/>
        </w:rPr>
        <w:t>排水管网8.2公里、城</w:t>
      </w:r>
      <w:r>
        <w:rPr>
          <w:rFonts w:hint="eastAsia" w:ascii="仿宋_GB2312" w:hAnsi="Calibri" w:eastAsia="仿宋_GB2312" w:cs="仿宋_GB2312"/>
          <w:color w:val="auto"/>
          <w:kern w:val="2"/>
          <w:sz w:val="32"/>
          <w:szCs w:val="32"/>
          <w:lang w:val="en-US" w:eastAsia="zh-CN" w:bidi="ar"/>
        </w:rPr>
        <w:t>区排水管网CCTV清淤改造500公里，</w:t>
      </w:r>
      <w:r>
        <w:rPr>
          <w:rFonts w:hint="eastAsia" w:ascii="仿宋_GB2312" w:hAnsi="仿宋_GB2312" w:eastAsia="仿宋_GB2312" w:cs="仿宋_GB2312"/>
          <w:color w:val="auto"/>
          <w:kern w:val="2"/>
          <w:sz w:val="32"/>
          <w:szCs w:val="22"/>
          <w:lang w:val="en-US" w:eastAsia="zh-CN" w:bidi="ar"/>
        </w:rPr>
        <w:t>建成区范围内居民小区垃圾分类设施覆盖率100%。</w:t>
      </w:r>
      <w:r>
        <w:rPr>
          <w:rFonts w:hint="eastAsia" w:ascii="仿宋_GB2312" w:hAnsi="仿宋_GB2312" w:eastAsia="仿宋_GB2312" w:cs="仿宋_GB2312"/>
          <w:b w:val="0"/>
          <w:bCs w:val="0"/>
          <w:color w:val="auto"/>
          <w:sz w:val="32"/>
          <w:szCs w:val="32"/>
          <w:lang w:val="en-US" w:eastAsia="zh-CN"/>
        </w:rPr>
        <w:t>荣兴路、章源路、新城路等城区道路建成通车。</w:t>
      </w:r>
      <w:r>
        <w:rPr>
          <w:rFonts w:hint="eastAsia" w:ascii="仿宋_GB2312" w:hAnsi="仿宋_GB2312" w:eastAsia="仿宋_GB2312" w:cs="仿宋_GB2312"/>
          <w:color w:val="auto"/>
          <w:sz w:val="32"/>
          <w:szCs w:val="32"/>
          <w:lang w:val="en-US" w:eastAsia="zh-CN"/>
        </w:rPr>
        <w:t>累计铺设天然气管道106.7公里，赣州南支线大余1#阀室实现开口通气，我县成为全市首个拥有2个管道气源点的县级行政区，成功争取2024年管道天然气用气指标2662万立方米，连续2年位列全市除中心城区外县（市）第1，企业、居民、工商业用气成本大幅降低。</w:t>
      </w:r>
    </w:p>
    <w:p w14:paraId="76EC807D">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sz w:val="32"/>
          <w:szCs w:val="32"/>
          <w:highlight w:val="none"/>
          <w:u w:val="none" w:color="auto"/>
          <w:lang w:val="en-US" w:eastAsia="zh-CN"/>
        </w:rPr>
      </w:pPr>
      <w:r>
        <w:rPr>
          <w:rFonts w:hint="eastAsia" w:ascii="仿宋_GB2312" w:hAnsi="仿宋_GB2312" w:eastAsia="仿宋_GB2312" w:cs="仿宋_GB2312"/>
          <w:b/>
          <w:bCs/>
          <w:color w:val="auto"/>
          <w:sz w:val="32"/>
          <w:szCs w:val="32"/>
          <w:lang w:val="en-US" w:eastAsia="zh-CN"/>
        </w:rPr>
        <w:t>二是乡村面貌焕发新颜。</w:t>
      </w:r>
      <w:r>
        <w:rPr>
          <w:rFonts w:hint="eastAsia" w:ascii="仿宋_GB2312" w:hAnsi="仿宋_GB2312" w:eastAsia="仿宋_GB2312" w:cs="仿宋_GB2312"/>
          <w:color w:val="auto"/>
          <w:sz w:val="32"/>
          <w:szCs w:val="32"/>
          <w:highlight w:val="none"/>
          <w:u w:val="none" w:color="auto"/>
          <w:lang w:val="en-US" w:eastAsia="zh-CN"/>
        </w:rPr>
        <w:t>高质量推进“四融一共”和美乡村建设，打造</w:t>
      </w:r>
      <w:r>
        <w:rPr>
          <w:rFonts w:hint="eastAsia" w:ascii="仿宋_GB2312" w:hAnsi="仿宋_GB2312" w:eastAsia="仿宋_GB2312" w:cs="Times New Roman"/>
          <w:color w:val="auto"/>
          <w:kern w:val="2"/>
          <w:sz w:val="32"/>
          <w:szCs w:val="32"/>
          <w:lang w:val="en-US" w:eastAsia="zh-CN" w:bidi="ar-SA"/>
        </w:rPr>
        <w:t>精品“四融一共”和美乡村示范带3条、“四融一共”和美乡村示范村组</w:t>
      </w:r>
      <w:r>
        <w:rPr>
          <w:rFonts w:hint="eastAsia" w:ascii="仿宋_GB2312" w:hAnsi="仿宋_GB2312" w:eastAsia="仿宋_GB2312" w:cs="仿宋_GB2312"/>
          <w:color w:val="auto"/>
          <w:sz w:val="32"/>
          <w:szCs w:val="32"/>
          <w:highlight w:val="none"/>
          <w:u w:val="none" w:color="auto"/>
          <w:lang w:val="en-US" w:eastAsia="zh-CN"/>
        </w:rPr>
        <w:t>14</w:t>
      </w:r>
      <w:r>
        <w:rPr>
          <w:rFonts w:hint="eastAsia" w:ascii="仿宋_GB2312" w:hAnsi="仿宋_GB2312" w:eastAsia="仿宋_GB2312" w:cs="Times New Roman"/>
          <w:color w:val="auto"/>
          <w:kern w:val="2"/>
          <w:sz w:val="32"/>
          <w:szCs w:val="32"/>
          <w:lang w:val="en-US" w:eastAsia="zh-CN" w:bidi="ar-SA"/>
        </w:rPr>
        <w:t>个、新农村建设点</w:t>
      </w:r>
      <w:r>
        <w:rPr>
          <w:rFonts w:hint="eastAsia" w:ascii="仿宋_GB2312" w:hAnsi="仿宋_GB2312" w:eastAsia="仿宋_GB2312" w:cs="仿宋_GB2312"/>
          <w:color w:val="auto"/>
          <w:sz w:val="32"/>
          <w:szCs w:val="32"/>
          <w:highlight w:val="none"/>
          <w:u w:val="none" w:color="auto"/>
          <w:lang w:val="en-US" w:eastAsia="zh-CN"/>
        </w:rPr>
        <w:t>27个</w:t>
      </w:r>
      <w:r>
        <w:rPr>
          <w:rFonts w:hint="eastAsia" w:ascii="仿宋_GB2312" w:hAnsi="仿宋_GB2312" w:eastAsia="仿宋_GB2312" w:cs="Times New Roman"/>
          <w:color w:val="auto"/>
          <w:kern w:val="2"/>
          <w:sz w:val="32"/>
          <w:szCs w:val="32"/>
          <w:lang w:val="en-US" w:eastAsia="zh-CN" w:bidi="ar-SA"/>
        </w:rPr>
        <w:t>、</w:t>
      </w:r>
      <w:r>
        <w:rPr>
          <w:rFonts w:hint="eastAsia" w:ascii="仿宋_GB2312" w:hAnsi="仿宋_GB2312" w:eastAsia="仿宋_GB2312" w:cs="仿宋_GB2312"/>
          <w:color w:val="auto"/>
          <w:sz w:val="32"/>
          <w:szCs w:val="32"/>
          <w:highlight w:val="none"/>
          <w:u w:val="none" w:color="auto"/>
          <w:lang w:val="en-US" w:eastAsia="zh-CN"/>
        </w:rPr>
        <w:t>美丽宜居村庄9个</w:t>
      </w:r>
      <w:r>
        <w:rPr>
          <w:rFonts w:hint="eastAsia" w:ascii="仿宋_GB2312" w:hAnsi="仿宋_GB2312" w:eastAsia="仿宋_GB2312" w:cs="Times New Roman"/>
          <w:color w:val="auto"/>
          <w:kern w:val="2"/>
          <w:sz w:val="32"/>
          <w:szCs w:val="32"/>
          <w:lang w:val="en-US" w:eastAsia="zh-CN" w:bidi="ar-SA"/>
        </w:rPr>
        <w:t>，获评全省</w:t>
      </w:r>
      <w:r>
        <w:rPr>
          <w:rFonts w:hint="eastAsia" w:ascii="仿宋_GB2312" w:hAnsi="仿宋_GB2312" w:eastAsia="仿宋_GB2312" w:cs="Times New Roman"/>
          <w:color w:val="auto"/>
          <w:sz w:val="32"/>
          <w:szCs w:val="32"/>
          <w:lang w:val="en-US" w:eastAsia="zh-CN"/>
        </w:rPr>
        <w:t>“四融一共”和美乡村建设先行县、</w:t>
      </w:r>
      <w:r>
        <w:rPr>
          <w:rFonts w:hint="eastAsia" w:ascii="仿宋_GB2312" w:hAnsi="仿宋_GB2312" w:eastAsia="仿宋_GB2312" w:cs="Times New Roman"/>
          <w:color w:val="auto"/>
          <w:sz w:val="32"/>
          <w:szCs w:val="32"/>
          <w:u w:val="none"/>
          <w:lang w:val="en-US" w:eastAsia="zh-CN"/>
        </w:rPr>
        <w:t>省部共建“县级先行标杆”</w:t>
      </w:r>
      <w:r>
        <w:rPr>
          <w:rFonts w:hint="eastAsia" w:ascii="仿宋_GB2312" w:hAnsi="仿宋_GB2312" w:eastAsia="仿宋_GB2312" w:cs="Times New Roman"/>
          <w:color w:val="auto"/>
          <w:kern w:val="2"/>
          <w:sz w:val="32"/>
          <w:szCs w:val="32"/>
          <w:u w:val="none"/>
          <w:lang w:val="en-US" w:eastAsia="zh-CN" w:bidi="ar-SA"/>
        </w:rPr>
        <w:t>。</w:t>
      </w:r>
      <w:r>
        <w:rPr>
          <w:rFonts w:hint="eastAsia" w:ascii="仿宋_GB2312" w:hAnsi="仿宋_GB2312" w:eastAsia="仿宋_GB2312" w:cs="仿宋_GB2312"/>
          <w:color w:val="auto"/>
          <w:kern w:val="2"/>
          <w:sz w:val="32"/>
          <w:szCs w:val="32"/>
          <w:lang w:val="en-US" w:eastAsia="zh-CN" w:bidi="ar-SA"/>
        </w:rPr>
        <w:t>新建行政村农村生活污水处理设施12个，新（改）建农村户厕177个、农村公路35公里</w:t>
      </w:r>
      <w:r>
        <w:rPr>
          <w:rFonts w:hint="eastAsia" w:ascii="仿宋_GB2312" w:hAnsi="仿宋_GB2312" w:eastAsia="仿宋_GB2312" w:cs="Times New Roman"/>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全面完成105个行政村环境综合整治，</w:t>
      </w:r>
      <w:r>
        <w:rPr>
          <w:rFonts w:hint="eastAsia" w:ascii="仿宋_GB2312" w:hAnsi="仿宋_GB2312" w:eastAsia="仿宋_GB2312" w:cs="仿宋_GB2312"/>
          <w:color w:val="auto"/>
          <w:sz w:val="32"/>
          <w:szCs w:val="32"/>
          <w:highlight w:val="none"/>
          <w:u w:val="none" w:color="auto"/>
          <w:lang w:val="en-US" w:eastAsia="zh-CN"/>
        </w:rPr>
        <w:t>大余县农村人居环境整治项目作为全市唯一获2024年中央预算内国家乡村振兴专项（农村人居环境整治）资金支持项目。高质量完成农村宅基地“两项试点”工作。强力推进农村集体经营性建设用地入市试点工作，成功在江西省公共资源交易平台交易全省首宗农村集体经营性建设用地，相关情况在《中国自然资源报》《人民日报》客户端刊登。</w:t>
      </w:r>
    </w:p>
    <w:p w14:paraId="5CB907E1">
      <w:pPr>
        <w:keepNext w:val="0"/>
        <w:keepLines w:val="0"/>
        <w:pageBreakBefore w:val="0"/>
        <w:kinsoku/>
        <w:wordWrap/>
        <w:overflowPunct/>
        <w:autoSpaceDE/>
        <w:autoSpaceDN/>
        <w:bidi w:val="0"/>
        <w:adjustRightInd/>
        <w:snapToGrid/>
        <w:spacing w:line="560" w:lineRule="exact"/>
        <w:ind w:firstLine="643" w:firstLineChars="200"/>
        <w:jc w:val="both"/>
        <w:textAlignment w:val="auto"/>
        <w:rPr>
          <w:rFonts w:hint="eastAsia" w:ascii="宋体" w:hAnsi="宋体"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三是生态建设成效凸显。</w:t>
      </w:r>
      <w:r>
        <w:rPr>
          <w:rFonts w:hint="eastAsia" w:ascii="仿宋_GB2312" w:hAnsi="仿宋_GB2312" w:eastAsia="仿宋_GB2312" w:cs="仿宋_GB2312"/>
          <w:b w:val="0"/>
          <w:bCs w:val="0"/>
          <w:color w:val="auto"/>
          <w:sz w:val="32"/>
          <w:szCs w:val="32"/>
          <w:u w:val="none" w:color="auto"/>
          <w:lang w:val="en-US" w:eastAsia="zh-CN"/>
        </w:rPr>
        <w:t>深入推进“四尘三烟三气”整治行动，</w:t>
      </w:r>
      <w:r>
        <w:rPr>
          <w:rFonts w:hint="eastAsia" w:ascii="宋体" w:hAnsi="宋体" w:eastAsia="仿宋_GB2312" w:cs="仿宋_GB2312"/>
          <w:color w:val="auto"/>
          <w:sz w:val="32"/>
          <w:szCs w:val="32"/>
          <w:lang w:val="en-US" w:eastAsia="zh-CN"/>
        </w:rPr>
        <w:t>县域</w:t>
      </w:r>
      <w:r>
        <w:rPr>
          <w:rFonts w:hint="eastAsia" w:ascii="仿宋_GB2312" w:hAnsi="仿宋_GB2312" w:eastAsia="仿宋_GB2312" w:cs="仿宋_GB2312"/>
          <w:b w:val="0"/>
          <w:bCs w:val="0"/>
          <w:color w:val="auto"/>
          <w:sz w:val="32"/>
          <w:szCs w:val="32"/>
          <w:highlight w:val="none"/>
          <w:u w:val="none" w:color="auto"/>
          <w:lang w:val="en-US" w:eastAsia="zh-CN"/>
        </w:rPr>
        <w:t>PM</w:t>
      </w:r>
      <w:r>
        <w:rPr>
          <w:rFonts w:hint="eastAsia" w:ascii="仿宋_GB2312" w:hAnsi="仿宋_GB2312" w:eastAsia="仿宋_GB2312" w:cs="仿宋_GB2312"/>
          <w:b w:val="0"/>
          <w:bCs w:val="0"/>
          <w:color w:val="auto"/>
          <w:sz w:val="32"/>
          <w:szCs w:val="32"/>
          <w:highlight w:val="none"/>
          <w:u w:val="none" w:color="auto"/>
          <w:vertAlign w:val="subscript"/>
          <w:lang w:val="en-US" w:eastAsia="zh-CN"/>
        </w:rPr>
        <w:t>2.5</w:t>
      </w:r>
      <w:r>
        <w:rPr>
          <w:rFonts w:hint="eastAsia" w:ascii="仿宋_GB2312" w:hAnsi="仿宋_GB2312" w:eastAsia="仿宋_GB2312" w:cs="仿宋_GB2312"/>
          <w:b w:val="0"/>
          <w:bCs w:val="0"/>
          <w:color w:val="auto"/>
          <w:sz w:val="32"/>
          <w:szCs w:val="32"/>
          <w:highlight w:val="none"/>
          <w:u w:val="none" w:color="auto"/>
          <w:lang w:val="en-US" w:eastAsia="zh-CN"/>
        </w:rPr>
        <w:t>平均浓度18微克/立方米，同比下降10%，空气优良率99.7%，同比上升1.5%。</w:t>
      </w:r>
      <w:r>
        <w:rPr>
          <w:rFonts w:hint="eastAsia" w:ascii="仿宋_GB2312" w:hAnsi="Times New Roman" w:eastAsia="仿宋_GB2312" w:cs="Times New Roman"/>
          <w:color w:val="auto"/>
          <w:sz w:val="32"/>
          <w:szCs w:val="32"/>
          <w:lang w:val="en-US" w:eastAsia="zh-CN"/>
        </w:rPr>
        <w:t>完成</w:t>
      </w:r>
      <w:r>
        <w:rPr>
          <w:rFonts w:hint="eastAsia" w:ascii="仿宋_GB2312" w:hAnsi="仿宋_GB2312" w:eastAsia="仿宋_GB2312" w:cs="仿宋_GB2312"/>
          <w:color w:val="auto"/>
          <w:sz w:val="32"/>
          <w:szCs w:val="32"/>
          <w:highlight w:val="none"/>
          <w:lang w:val="en-US" w:eastAsia="zh-CN"/>
        </w:rPr>
        <w:t>造林绿化2.6万亩、低质低效林改造3万亩、</w:t>
      </w:r>
      <w:r>
        <w:rPr>
          <w:rFonts w:hint="eastAsia" w:ascii="仿宋_GB2312" w:hAnsi="仿宋_GB2312" w:eastAsia="仿宋_GB2312" w:cs="仿宋_GB2312"/>
          <w:color w:val="auto"/>
          <w:sz w:val="32"/>
          <w:szCs w:val="32"/>
          <w:lang w:val="en-US" w:eastAsia="zh-CN"/>
        </w:rPr>
        <w:t>治理水土流失6.8平方公里</w:t>
      </w:r>
      <w:r>
        <w:rPr>
          <w:rFonts w:hint="eastAsia" w:ascii="仿宋_GB2312" w:hAnsi="Times New Roman" w:eastAsia="仿宋_GB2312" w:cs="Times New Roman"/>
          <w:color w:val="auto"/>
          <w:sz w:val="32"/>
          <w:szCs w:val="32"/>
          <w:lang w:val="en-US" w:eastAsia="zh-CN"/>
        </w:rPr>
        <w:t>、矿山修复415.2亩</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lang w:eastAsia="zh-CN"/>
        </w:rPr>
        <w:t>滴水龙废弃稀土矿山治理成效获民进中央特邀专家调研肯定。</w:t>
      </w:r>
      <w:r>
        <w:rPr>
          <w:rFonts w:hint="eastAsia" w:ascii="Times New Roman" w:hAnsi="Times New Roman" w:eastAsia="仿宋_GB2312" w:cs="Times New Roman"/>
          <w:color w:val="auto"/>
          <w:sz w:val="32"/>
          <w:szCs w:val="40"/>
          <w:highlight w:val="none"/>
          <w:lang w:val="en-US" w:eastAsia="zh-CN"/>
        </w:rPr>
        <w:t>全</w:t>
      </w:r>
      <w:r>
        <w:rPr>
          <w:rFonts w:hint="default" w:ascii="Times New Roman" w:hAnsi="Times New Roman" w:eastAsia="仿宋_GB2312" w:cs="Times New Roman"/>
          <w:color w:val="auto"/>
          <w:sz w:val="32"/>
          <w:szCs w:val="40"/>
          <w:highlight w:val="none"/>
          <w:lang w:val="en-US" w:eastAsia="zh-CN"/>
        </w:rPr>
        <w:t>县国控、省控断面水质优良比例</w:t>
      </w:r>
      <w:r>
        <w:rPr>
          <w:rFonts w:hint="eastAsia" w:ascii="Times New Roman" w:hAnsi="Times New Roman" w:eastAsia="仿宋_GB2312" w:cs="Times New Roman"/>
          <w:color w:val="auto"/>
          <w:sz w:val="32"/>
          <w:szCs w:val="40"/>
          <w:highlight w:val="none"/>
          <w:lang w:val="en-US" w:eastAsia="zh-CN"/>
        </w:rPr>
        <w:t>均</w:t>
      </w:r>
      <w:r>
        <w:rPr>
          <w:rFonts w:hint="default" w:ascii="Times New Roman" w:hAnsi="Times New Roman" w:eastAsia="仿宋_GB2312" w:cs="Times New Roman"/>
          <w:color w:val="auto"/>
          <w:sz w:val="32"/>
          <w:szCs w:val="40"/>
          <w:highlight w:val="none"/>
          <w:lang w:val="en-US" w:eastAsia="zh-CN"/>
        </w:rPr>
        <w:t>为</w:t>
      </w:r>
      <w:r>
        <w:rPr>
          <w:rFonts w:hint="eastAsia" w:ascii="仿宋_GB2312" w:hAnsi="仿宋_GB2312" w:eastAsia="仿宋_GB2312" w:cs="仿宋_GB2312"/>
          <w:color w:val="auto"/>
          <w:sz w:val="32"/>
          <w:szCs w:val="40"/>
          <w:highlight w:val="none"/>
          <w:lang w:val="en-US" w:eastAsia="zh-CN"/>
        </w:rPr>
        <w:t>100%</w:t>
      </w:r>
      <w:r>
        <w:rPr>
          <w:rFonts w:hint="default" w:ascii="Times New Roman" w:hAnsi="Times New Roman" w:eastAsia="仿宋_GB2312" w:cs="Times New Roman"/>
          <w:color w:val="auto"/>
          <w:sz w:val="32"/>
          <w:szCs w:val="40"/>
          <w:highlight w:val="none"/>
          <w:lang w:val="en-US" w:eastAsia="zh-CN"/>
        </w:rPr>
        <w:t>，城区集中式饮用水水源地及千吨万人、百吨千人集中式饮用水水源地水质达标率均为</w:t>
      </w:r>
      <w:r>
        <w:rPr>
          <w:rFonts w:hint="default" w:ascii="仿宋_GB2312" w:hAnsi="仿宋_GB2312" w:eastAsia="仿宋_GB2312" w:cs="仿宋_GB2312"/>
          <w:color w:val="auto"/>
          <w:sz w:val="32"/>
          <w:szCs w:val="40"/>
          <w:highlight w:val="none"/>
          <w:lang w:val="en-US" w:eastAsia="zh-CN"/>
        </w:rPr>
        <w:t>100%</w:t>
      </w:r>
      <w:r>
        <w:rPr>
          <w:rFonts w:hint="default" w:ascii="Times New Roman" w:hAnsi="Times New Roman" w:eastAsia="仿宋_GB2312" w:cs="Times New Roman"/>
          <w:color w:val="auto"/>
          <w:sz w:val="32"/>
          <w:szCs w:val="40"/>
          <w:highlight w:val="none"/>
          <w:lang w:val="en-US" w:eastAsia="zh-CN"/>
        </w:rPr>
        <w:t>，河流断面水质综合指</w:t>
      </w:r>
      <w:r>
        <w:rPr>
          <w:rFonts w:hint="default" w:ascii="仿宋_GB2312" w:hAnsi="仿宋_GB2312" w:eastAsia="仿宋_GB2312" w:cs="仿宋_GB2312"/>
          <w:color w:val="auto"/>
          <w:sz w:val="32"/>
          <w:szCs w:val="40"/>
          <w:highlight w:val="none"/>
          <w:lang w:val="en-US" w:eastAsia="zh-CN"/>
        </w:rPr>
        <w:t>数2.9</w:t>
      </w:r>
      <w:r>
        <w:rPr>
          <w:rFonts w:hint="eastAsia" w:ascii="仿宋_GB2312" w:hAnsi="仿宋_GB2312" w:eastAsia="仿宋_GB2312" w:cs="仿宋_GB2312"/>
          <w:color w:val="auto"/>
          <w:sz w:val="32"/>
          <w:szCs w:val="40"/>
          <w:highlight w:val="none"/>
          <w:lang w:val="en-US" w:eastAsia="zh-CN"/>
        </w:rPr>
        <w:t>9</w:t>
      </w:r>
      <w:r>
        <w:rPr>
          <w:rFonts w:hint="default" w:ascii="Times New Roman" w:hAnsi="Times New Roman" w:eastAsia="仿宋_GB2312" w:cs="Times New Roman"/>
          <w:color w:val="auto"/>
          <w:sz w:val="32"/>
          <w:szCs w:val="40"/>
          <w:highlight w:val="none"/>
          <w:lang w:val="en-US" w:eastAsia="zh-CN"/>
        </w:rPr>
        <w:t>，同比变好</w:t>
      </w:r>
      <w:r>
        <w:rPr>
          <w:rFonts w:hint="eastAsia" w:ascii="仿宋_GB2312" w:hAnsi="仿宋_GB2312" w:eastAsia="仿宋_GB2312" w:cs="仿宋_GB2312"/>
          <w:color w:val="auto"/>
          <w:sz w:val="32"/>
          <w:szCs w:val="40"/>
          <w:highlight w:val="none"/>
          <w:lang w:val="en-US" w:eastAsia="zh-CN"/>
        </w:rPr>
        <w:t>6.8</w:t>
      </w:r>
      <w:r>
        <w:rPr>
          <w:rFonts w:hint="default" w:ascii="仿宋_GB2312" w:hAnsi="仿宋_GB2312" w:eastAsia="仿宋_GB2312" w:cs="仿宋_GB2312"/>
          <w:color w:val="auto"/>
          <w:sz w:val="32"/>
          <w:szCs w:val="40"/>
          <w:highlight w:val="none"/>
          <w:lang w:val="en-US" w:eastAsia="zh-CN"/>
        </w:rPr>
        <w:t>%</w:t>
      </w:r>
      <w:r>
        <w:rPr>
          <w:rFonts w:hint="default" w:ascii="Times New Roman" w:hAnsi="Times New Roman" w:eastAsia="仿宋_GB2312" w:cs="Times New Roman"/>
          <w:color w:val="auto"/>
          <w:sz w:val="32"/>
          <w:szCs w:val="40"/>
          <w:highlight w:val="none"/>
          <w:lang w:val="en-US" w:eastAsia="zh-CN"/>
        </w:rPr>
        <w:t>。</w:t>
      </w:r>
      <w:r>
        <w:rPr>
          <w:rFonts w:hint="eastAsia" w:ascii="仿宋_GB2312" w:hAnsi="仿宋_GB2312" w:eastAsia="仿宋_GB2312" w:cs="仿宋_GB2312"/>
          <w:b w:val="0"/>
          <w:bCs w:val="0"/>
          <w:color w:val="auto"/>
          <w:sz w:val="32"/>
          <w:szCs w:val="32"/>
          <w:u w:val="none" w:color="auto"/>
          <w:lang w:val="en-US" w:eastAsia="zh-CN"/>
        </w:rPr>
        <w:t>建成投运大余工业园综合能源集中供热项目，</w:t>
      </w:r>
      <w:r>
        <w:rPr>
          <w:rFonts w:hint="eastAsia" w:ascii="仿宋_GB2312" w:hAnsi="仿宋_GB2312" w:eastAsia="仿宋_GB2312" w:cs="仿宋_GB2312"/>
          <w:b w:val="0"/>
          <w:bCs w:val="0"/>
          <w:color w:val="auto"/>
          <w:sz w:val="32"/>
          <w:szCs w:val="32"/>
          <w:lang w:val="en-US" w:eastAsia="zh-CN"/>
        </w:rPr>
        <w:t>悦安新材、丫山钨业被认定为2024年度省级绿色工厂，</w:t>
      </w:r>
      <w:r>
        <w:rPr>
          <w:rFonts w:hint="eastAsia" w:ascii="仿宋_GB2312" w:hAnsi="仿宋_GB2312" w:eastAsia="仿宋_GB2312" w:cs="仿宋_GB2312"/>
          <w:color w:val="auto"/>
          <w:sz w:val="32"/>
          <w:szCs w:val="32"/>
          <w:lang w:val="en-US" w:eastAsia="zh-CN"/>
        </w:rPr>
        <w:t>预计全年</w:t>
      </w:r>
      <w:r>
        <w:rPr>
          <w:rFonts w:hint="eastAsia" w:ascii="仿宋_GB2312" w:hAnsi="仿宋_GB2312" w:eastAsia="仿宋_GB2312" w:cs="仿宋_GB2312"/>
          <w:b w:val="0"/>
          <w:bCs w:val="0"/>
          <w:color w:val="auto"/>
          <w:sz w:val="32"/>
          <w:szCs w:val="32"/>
          <w:lang w:val="en-US" w:eastAsia="zh-CN"/>
        </w:rPr>
        <w:t>单位地区生产总值能耗下降3%。持续深化生态文明体制改革，</w:t>
      </w:r>
      <w:r>
        <w:rPr>
          <w:rFonts w:hint="eastAsia" w:ascii="仿宋_GB2312" w:hAnsi="仿宋_GB2312" w:eastAsia="仿宋_GB2312" w:cs="仿宋_GB2312"/>
          <w:color w:val="auto"/>
          <w:sz w:val="32"/>
          <w:szCs w:val="32"/>
          <w:lang w:val="en-US" w:eastAsia="zh-CN"/>
        </w:rPr>
        <w:t>完成水权交易1例、交易水量50万立方米，连续4年实现水权交易目标。水利部下达再生水利用配置试点水利发展资金4604万元，系全省唯一。</w:t>
      </w:r>
      <w:r>
        <w:rPr>
          <w:rFonts w:hint="eastAsia" w:ascii="仿宋_GB2312" w:hAnsi="仿宋_GB2312" w:eastAsia="仿宋_GB2312" w:cs="仿宋_GB2312"/>
          <w:i w:val="0"/>
          <w:iCs w:val="0"/>
          <w:caps w:val="0"/>
          <w:color w:val="auto"/>
          <w:spacing w:val="0"/>
          <w:sz w:val="32"/>
          <w:szCs w:val="32"/>
          <w:shd w:val="clear" w:fill="FFFFFF"/>
        </w:rPr>
        <w:t>《生态产品价值实现促进共同富裕的“丫山模式”》入选江西省首批生态产品价值实现改革创新案例</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color w:val="auto"/>
          <w:sz w:val="32"/>
          <w:szCs w:val="32"/>
          <w:highlight w:val="none"/>
          <w:lang w:val="en-US" w:eastAsia="zh-CN"/>
        </w:rPr>
        <w:t>省级生态产品价值实现改革示范基地建设成效获省发展改革委通报表扬</w:t>
      </w:r>
      <w:r>
        <w:rPr>
          <w:rFonts w:hint="eastAsia" w:ascii="仿宋_GB2312" w:hAnsi="仿宋_GB2312" w:eastAsia="仿宋_GB2312" w:cs="仿宋_GB2312"/>
          <w:i w:val="0"/>
          <w:iCs w:val="0"/>
          <w:caps w:val="0"/>
          <w:color w:val="auto"/>
          <w:spacing w:val="0"/>
          <w:sz w:val="32"/>
          <w:szCs w:val="32"/>
          <w:shd w:val="clear" w:fill="FFFFFF"/>
          <w:lang w:eastAsia="zh-CN"/>
        </w:rPr>
        <w:t>。</w:t>
      </w:r>
    </w:p>
    <w:p w14:paraId="72D8362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楷体_GB2312" w:hAnsi="楷体_GB2312" w:eastAsia="楷体_GB2312" w:cs="楷体_GB2312"/>
          <w:b/>
          <w:bCs/>
          <w:color w:val="auto"/>
          <w:sz w:val="32"/>
          <w:szCs w:val="32"/>
          <w:lang w:val="en-US" w:eastAsia="zh-CN"/>
        </w:rPr>
      </w:pPr>
      <w:r>
        <w:rPr>
          <w:rFonts w:hint="eastAsia" w:ascii="楷体_GB2312" w:hAnsi="楷体_GB2312" w:eastAsia="楷体_GB2312" w:cs="楷体_GB2312"/>
          <w:b/>
          <w:bCs/>
          <w:color w:val="auto"/>
          <w:sz w:val="32"/>
          <w:szCs w:val="32"/>
          <w:lang w:val="en-US" w:eastAsia="zh-CN"/>
        </w:rPr>
        <w:t>（五）聚焦社会事业发展，民生福祉持续增进</w:t>
      </w:r>
    </w:p>
    <w:p w14:paraId="41FB9051">
      <w:pPr>
        <w:keepNext w:val="0"/>
        <w:keepLines w:val="0"/>
        <w:pageBreakBefore w:val="0"/>
        <w:widowControl w:val="0"/>
        <w:kinsoku/>
        <w:wordWrap/>
        <w:overflowPunct/>
        <w:topLinePunct w:val="0"/>
        <w:autoSpaceDE/>
        <w:autoSpaceDN/>
        <w:bidi w:val="0"/>
        <w:adjustRightInd/>
        <w:snapToGrid/>
        <w:spacing w:line="560" w:lineRule="exact"/>
        <w:ind w:leftChars="0" w:firstLine="643" w:firstLineChars="200"/>
        <w:jc w:val="both"/>
        <w:textAlignment w:val="auto"/>
        <w:rPr>
          <w:rFonts w:hint="eastAsia" w:ascii="仿宋_GB2312" w:hAnsi="仿宋_GB2312" w:eastAsia="仿宋_GB2312" w:cs="仿宋_GB2312"/>
          <w:color w:val="auto"/>
          <w:spacing w:val="0"/>
          <w:sz w:val="32"/>
          <w:szCs w:val="32"/>
          <w:lang w:val="en-US" w:eastAsia="zh-CN"/>
        </w:rPr>
      </w:pPr>
      <w:r>
        <w:rPr>
          <w:rFonts w:hint="eastAsia" w:ascii="仿宋_GB2312" w:hAnsi="仿宋_GB2312" w:eastAsia="仿宋_GB2312" w:cs="仿宋_GB2312"/>
          <w:b/>
          <w:bCs/>
          <w:color w:val="auto"/>
          <w:sz w:val="32"/>
          <w:szCs w:val="32"/>
          <w:lang w:val="en-US" w:eastAsia="zh-CN"/>
        </w:rPr>
        <w:t>一是社会保障更有力度。</w:t>
      </w:r>
      <w:r>
        <w:rPr>
          <w:rFonts w:hint="eastAsia" w:ascii="仿宋_GB2312" w:hAnsi="仿宋_GB2312" w:eastAsia="仿宋_GB2312" w:cs="仿宋_GB2312"/>
          <w:b w:val="0"/>
          <w:bCs w:val="0"/>
          <w:color w:val="auto"/>
          <w:sz w:val="32"/>
          <w:szCs w:val="32"/>
          <w:highlight w:val="none"/>
          <w:u w:val="none" w:color="auto"/>
          <w:lang w:val="en-US" w:eastAsia="zh-CN"/>
        </w:rPr>
        <w:t>2024年全县民生支出26.6亿元，占比84.2%</w:t>
      </w:r>
      <w:r>
        <w:rPr>
          <w:rStyle w:val="12"/>
          <w:rFonts w:hint="eastAsia" w:ascii="仿宋_GB2312" w:hAnsi="仿宋_GB2312" w:eastAsia="仿宋_GB2312" w:cs="仿宋_GB2312"/>
          <w:color w:val="auto"/>
          <w:sz w:val="32"/>
          <w:szCs w:val="32"/>
          <w:highlight w:val="none"/>
          <w:u w:val="none" w:color="auto"/>
        </w:rPr>
        <w:t>。</w:t>
      </w:r>
      <w:r>
        <w:rPr>
          <w:rFonts w:hint="eastAsia" w:ascii="仿宋_GB2312" w:hAnsi="仿宋_GB2312" w:eastAsia="仿宋_GB2312" w:cs="仿宋_GB2312"/>
          <w:color w:val="auto"/>
          <w:kern w:val="2"/>
          <w:sz w:val="32"/>
          <w:szCs w:val="32"/>
          <w:lang w:val="en-US" w:eastAsia="zh-CN" w:bidi="ar-SA"/>
        </w:rPr>
        <w:t>持续巩固拓展脱贫攻坚成果同乡村振兴有效衔接，安排衔接资金1.23亿元、项目166个，</w:t>
      </w:r>
      <w:r>
        <w:rPr>
          <w:rFonts w:hint="eastAsia" w:ascii="仿宋_GB2312" w:hAnsi="仿宋_GB2312" w:eastAsia="仿宋_GB2312" w:cs="仿宋_GB2312"/>
          <w:color w:val="auto"/>
          <w:sz w:val="32"/>
          <w:szCs w:val="32"/>
          <w:lang w:val="en-US" w:eastAsia="zh-CN"/>
        </w:rPr>
        <w:t>连续两年获江西省巩固拓展脱贫攻坚成果考核优秀等次，衔接推进乡村振兴补助资金绩效评价连续三年考核为“A级”等次。34个“5+2就业之家”全部建成并投入使用，</w:t>
      </w:r>
      <w:r>
        <w:rPr>
          <w:rFonts w:hint="eastAsia" w:ascii="仿宋_GB2312" w:hAnsi="仿宋_GB2312" w:eastAsia="仿宋_GB2312" w:cs="仿宋_GB2312"/>
          <w:color w:val="auto"/>
          <w:sz w:val="32"/>
          <w:szCs w:val="32"/>
          <w:highlight w:val="none"/>
          <w:lang w:val="en-US" w:eastAsia="zh-CN"/>
        </w:rPr>
        <w:t>城镇新增就业1789人</w:t>
      </w:r>
      <w:r>
        <w:rPr>
          <w:rFonts w:hint="eastAsia" w:ascii="仿宋_GB2312" w:hAnsi="仿宋_GB2312" w:eastAsia="仿宋_GB2312" w:cs="仿宋_GB2312"/>
          <w:color w:val="auto"/>
          <w:sz w:val="32"/>
          <w:szCs w:val="32"/>
          <w:lang w:val="en-US" w:eastAsia="zh-CN"/>
        </w:rPr>
        <w:t>，新增转移农村劳动力3095人。建成保租房3230套，实现11个乡镇全覆盖。</w:t>
      </w:r>
      <w:r>
        <w:rPr>
          <w:rFonts w:hint="eastAsia" w:ascii="仿宋_GB2312" w:hAnsi="仿宋_GB2312" w:eastAsia="仿宋_GB2312" w:cs="仿宋_GB2312"/>
          <w:color w:val="auto"/>
          <w:spacing w:val="0"/>
          <w:sz w:val="32"/>
          <w:szCs w:val="32"/>
          <w:lang w:val="en-US" w:eastAsia="zh-CN"/>
        </w:rPr>
        <w:t>新城镇敬老院、黄龙镇敬老院2所区域性中心敬老院和明德社区嵌入式养老院建成投入使用，完成5个“一老一小幸福院”和5个城市老年助餐点建设。</w:t>
      </w:r>
    </w:p>
    <w:p w14:paraId="09E30786">
      <w:pPr>
        <w:keepNext w:val="0"/>
        <w:keepLines w:val="0"/>
        <w:pageBreakBefore w:val="0"/>
        <w:widowControl/>
        <w:kinsoku/>
        <w:wordWrap/>
        <w:overflowPunct/>
        <w:topLinePunct/>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二是公共服务更有温度。</w:t>
      </w:r>
      <w:r>
        <w:rPr>
          <w:rFonts w:hint="eastAsia" w:ascii="仿宋_GB2312" w:hAnsi="仿宋_GB2312" w:eastAsia="仿宋_GB2312" w:cs="仿宋_GB2312"/>
          <w:color w:val="auto"/>
          <w:sz w:val="32"/>
          <w:szCs w:val="32"/>
          <w:lang w:val="en-US" w:eastAsia="zh-CN"/>
        </w:rPr>
        <w:t>10件重点民生实事全部兑现，</w:t>
      </w:r>
      <w:r>
        <w:rPr>
          <w:rFonts w:hint="eastAsia" w:ascii="仿宋_GB2312" w:hAnsi="仿宋_GB2312" w:eastAsia="仿宋_GB2312" w:cs="仿宋_GB2312"/>
          <w:color w:val="auto"/>
          <w:sz w:val="32"/>
          <w:szCs w:val="32"/>
          <w:lang w:eastAsia="zh-CN"/>
        </w:rPr>
        <w:t>全县</w:t>
      </w:r>
      <w:r>
        <w:rPr>
          <w:rFonts w:hint="eastAsia" w:ascii="仿宋_GB2312" w:hAnsi="仿宋_GB2312" w:eastAsia="仿宋_GB2312" w:cs="仿宋_GB2312"/>
          <w:color w:val="auto"/>
          <w:sz w:val="32"/>
          <w:szCs w:val="32"/>
          <w:lang w:val="en-US" w:eastAsia="zh-CN"/>
        </w:rPr>
        <w:t>新增“七个位”11297个，完成目标任务的163.4%。教育网点布局更加优化，大余中学新校区建成启用，彻底解决了城区中学“大校额”“学位紧张”问题。</w:t>
      </w:r>
      <w:r>
        <w:rPr>
          <w:rFonts w:hint="eastAsia" w:ascii="仿宋_GB2312" w:hAnsi="仿宋_GB2312" w:eastAsia="仿宋_GB2312" w:cs="仿宋_GB2312"/>
          <w:color w:val="auto"/>
          <w:sz w:val="32"/>
          <w:szCs w:val="32"/>
          <w:lang w:val="en" w:eastAsia="zh-CN"/>
        </w:rPr>
        <w:t>大余入选首批全省科学教育试验区，县职业中专获评</w:t>
      </w:r>
      <w:r>
        <w:rPr>
          <w:rFonts w:hint="eastAsia" w:ascii="仿宋_GB2312" w:hAnsi="仿宋_GB2312" w:eastAsia="仿宋_GB2312" w:cs="仿宋_GB2312"/>
          <w:color w:val="auto"/>
          <w:sz w:val="32"/>
          <w:szCs w:val="32"/>
          <w:lang w:val="en-US" w:eastAsia="zh-CN"/>
        </w:rPr>
        <w:t>全省</w:t>
      </w:r>
      <w:r>
        <w:rPr>
          <w:rFonts w:hint="eastAsia" w:ascii="仿宋_GB2312" w:hAnsi="仿宋_GB2312" w:eastAsia="仿宋_GB2312" w:cs="仿宋_GB2312"/>
          <w:color w:val="auto"/>
          <w:sz w:val="32"/>
          <w:szCs w:val="32"/>
          <w:lang w:val="en" w:eastAsia="zh-CN"/>
        </w:rPr>
        <w:t>A档中职学校。</w:t>
      </w:r>
      <w:r>
        <w:rPr>
          <w:rFonts w:hint="eastAsia" w:ascii="仿宋_GB2312" w:hAnsi="仿宋_GB2312" w:eastAsia="仿宋_GB2312" w:cs="仿宋_GB2312"/>
          <w:color w:val="auto"/>
          <w:sz w:val="32"/>
          <w:szCs w:val="32"/>
          <w:highlight w:val="none"/>
          <w:lang w:val="en-US" w:eastAsia="zh-CN"/>
        </w:rPr>
        <w:t>总窿口、荡坪社区新党群服务中心搬迁启用。</w:t>
      </w:r>
      <w:r>
        <w:rPr>
          <w:rFonts w:hint="eastAsia" w:ascii="仿宋_GB2312" w:hAnsi="仿宋_GB2312" w:eastAsia="仿宋_GB2312" w:cs="仿宋_GB2312"/>
          <w:color w:val="auto"/>
          <w:sz w:val="32"/>
          <w:szCs w:val="32"/>
          <w:lang w:val="en-US" w:eastAsia="zh-CN"/>
        </w:rPr>
        <w:t>我县</w:t>
      </w:r>
      <w:r>
        <w:rPr>
          <w:rFonts w:hint="eastAsia" w:ascii="仿宋_GB2312" w:hAnsi="仿宋_GB2312" w:eastAsia="仿宋_GB2312" w:cs="仿宋_GB2312"/>
          <w:b w:val="0"/>
          <w:bCs w:val="0"/>
          <w:color w:val="000000"/>
          <w:sz w:val="32"/>
          <w:szCs w:val="32"/>
          <w:lang w:val="en" w:eastAsia="zh-CN"/>
        </w:rPr>
        <w:t>荣获江西省百县田径运动会团体二等奖，</w:t>
      </w:r>
      <w:r>
        <w:rPr>
          <w:rFonts w:hint="eastAsia" w:ascii="仿宋_GB2312" w:hAnsi="仿宋_GB2312" w:eastAsia="仿宋_GB2312" w:cs="仿宋_GB2312"/>
          <w:b w:val="0"/>
          <w:bCs w:val="0"/>
          <w:color w:val="000000"/>
          <w:sz w:val="32"/>
          <w:szCs w:val="32"/>
          <w:lang w:val="en-US" w:eastAsia="zh-CN"/>
        </w:rPr>
        <w:t>大余优秀运动员</w:t>
      </w:r>
      <w:r>
        <w:rPr>
          <w:rFonts w:hint="eastAsia" w:ascii="仿宋_GB2312" w:hAnsi="仿宋_GB2312" w:eastAsia="仿宋_GB2312" w:cs="仿宋_GB2312"/>
          <w:b w:val="0"/>
          <w:bCs w:val="0"/>
          <w:color w:val="000000"/>
          <w:sz w:val="32"/>
          <w:szCs w:val="32"/>
          <w:lang w:val="en" w:eastAsia="zh-CN"/>
        </w:rPr>
        <w:t>邓雪梅获巴黎残奥会举重项目银牌</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b w:val="0"/>
          <w:i w:val="0"/>
          <w:caps w:val="0"/>
          <w:color w:val="auto"/>
          <w:spacing w:val="0"/>
          <w:kern w:val="0"/>
          <w:sz w:val="32"/>
          <w:szCs w:val="32"/>
          <w:highlight w:val="none"/>
          <w:u w:val="none" w:color="auto"/>
          <w:shd w:val="clear" w:color="auto" w:fill="FFFFFF"/>
          <w:lang w:val="en-US" w:eastAsia="zh-CN" w:bidi="ar"/>
        </w:rPr>
        <w:t>持续</w:t>
      </w:r>
      <w:r>
        <w:rPr>
          <w:rFonts w:hint="eastAsia" w:ascii="仿宋_GB2312" w:hAnsi="仿宋_GB2312" w:eastAsia="仿宋_GB2312" w:cs="仿宋_GB2312"/>
          <w:b w:val="0"/>
          <w:i w:val="0"/>
          <w:caps w:val="0"/>
          <w:color w:val="auto"/>
          <w:spacing w:val="0"/>
          <w:kern w:val="0"/>
          <w:sz w:val="32"/>
          <w:szCs w:val="32"/>
          <w:highlight w:val="none"/>
          <w:u w:val="none" w:color="auto"/>
          <w:shd w:val="clear" w:color="auto" w:fill="FFFFFF"/>
          <w:lang w:val="en-US" w:eastAsia="en-US" w:bidi="ar"/>
        </w:rPr>
        <w:t>深化紧密型医共体建设</w:t>
      </w:r>
      <w:r>
        <w:rPr>
          <w:rFonts w:hint="eastAsia" w:ascii="仿宋_GB2312" w:hAnsi="仿宋_GB2312" w:eastAsia="仿宋_GB2312" w:cs="仿宋_GB2312"/>
          <w:b w:val="0"/>
          <w:i w:val="0"/>
          <w:caps w:val="0"/>
          <w:color w:val="auto"/>
          <w:spacing w:val="0"/>
          <w:kern w:val="0"/>
          <w:sz w:val="32"/>
          <w:szCs w:val="32"/>
          <w:highlight w:val="none"/>
          <w:u w:val="none" w:color="auto"/>
          <w:shd w:val="clear" w:color="auto" w:fill="FFFFFF"/>
          <w:lang w:val="en-US" w:eastAsia="zh-CN" w:bidi="ar"/>
        </w:rPr>
        <w:t>，大余</w:t>
      </w:r>
      <w:r>
        <w:rPr>
          <w:rFonts w:hint="eastAsia" w:ascii="仿宋_GB2312" w:hAnsi="仿宋_GB2312" w:eastAsia="仿宋_GB2312" w:cs="仿宋_GB2312"/>
          <w:color w:val="auto"/>
          <w:sz w:val="32"/>
          <w:szCs w:val="32"/>
        </w:rPr>
        <w:t>中医院</w:t>
      </w:r>
      <w:r>
        <w:rPr>
          <w:rFonts w:hint="eastAsia" w:ascii="仿宋_GB2312" w:hAnsi="仿宋_GB2312" w:eastAsia="仿宋_GB2312" w:cs="仿宋_GB2312"/>
          <w:color w:val="auto"/>
          <w:sz w:val="32"/>
          <w:szCs w:val="32"/>
          <w:lang w:eastAsia="zh-CN"/>
        </w:rPr>
        <w:t>投入使用，</w:t>
      </w:r>
      <w:r>
        <w:rPr>
          <w:rFonts w:hint="eastAsia" w:ascii="仿宋_GB2312" w:hAnsi="仿宋_GB2312" w:eastAsia="仿宋_GB2312" w:cs="仿宋_GB2312"/>
          <w:b w:val="0"/>
          <w:i w:val="0"/>
          <w:caps w:val="0"/>
          <w:color w:val="auto"/>
          <w:spacing w:val="0"/>
          <w:kern w:val="0"/>
          <w:sz w:val="32"/>
          <w:szCs w:val="32"/>
          <w:highlight w:val="none"/>
          <w:u w:val="none" w:color="auto"/>
          <w:shd w:val="clear" w:color="auto" w:fill="FFFFFF"/>
          <w:lang w:val="en-US" w:eastAsia="zh-CN" w:bidi="ar"/>
        </w:rPr>
        <w:t>县人民医院二级综合医院DRGs排名全省前列。</w:t>
      </w:r>
      <w:r>
        <w:rPr>
          <w:rFonts w:hint="eastAsia" w:ascii="仿宋_GB2312" w:hAnsi="仿宋_GB2312" w:eastAsia="仿宋_GB2312" w:cs="仿宋_GB2312"/>
          <w:b w:val="0"/>
          <w:i w:val="0"/>
          <w:caps w:val="0"/>
          <w:color w:val="auto"/>
          <w:spacing w:val="0"/>
          <w:kern w:val="0"/>
          <w:sz w:val="32"/>
          <w:szCs w:val="32"/>
          <w:highlight w:val="none"/>
          <w:u w:val="none" w:color="auto"/>
          <w:shd w:val="clear" w:color="auto" w:fill="FFFFFF"/>
          <w:lang w:val="en" w:eastAsia="zh-CN" w:bidi="ar"/>
        </w:rPr>
        <w:t>获评全市卫生应急医疗救援先进县、赣州市儿童营养改善项目先进县。</w:t>
      </w:r>
      <w:r>
        <w:rPr>
          <w:rFonts w:hint="eastAsia" w:ascii="仿宋_GB2312" w:hAnsi="仿宋_GB2312" w:eastAsia="仿宋_GB2312" w:cs="仿宋_GB2312"/>
          <w:b w:val="0"/>
          <w:i w:val="0"/>
          <w:caps w:val="0"/>
          <w:color w:val="auto"/>
          <w:spacing w:val="0"/>
          <w:kern w:val="0"/>
          <w:sz w:val="32"/>
          <w:szCs w:val="32"/>
          <w:highlight w:val="none"/>
          <w:u w:val="none" w:color="auto"/>
          <w:shd w:val="clear" w:color="auto" w:fill="FFFFFF"/>
          <w:lang w:val="en-US" w:eastAsia="zh-CN" w:bidi="ar"/>
        </w:rPr>
        <w:t>深</w:t>
      </w:r>
      <w:r>
        <w:rPr>
          <w:rFonts w:hint="eastAsia" w:ascii="仿宋_GB2312" w:hAnsi="仿宋_GB2312" w:eastAsia="仿宋_GB2312" w:cs="仿宋_GB2312"/>
          <w:color w:val="auto"/>
          <w:sz w:val="32"/>
          <w:szCs w:val="32"/>
          <w:lang w:val="en-US" w:eastAsia="zh-CN"/>
        </w:rPr>
        <w:t>入实施广播电视基本公共服务县级标准化国家级试点，</w:t>
      </w:r>
      <w:r>
        <w:rPr>
          <w:rFonts w:hint="eastAsia" w:ascii="仿宋_GB2312" w:hAnsi="仿宋_GB2312" w:eastAsia="仿宋_GB2312" w:cs="仿宋_GB2312"/>
          <w:b w:val="0"/>
          <w:bCs w:val="0"/>
          <w:color w:val="auto"/>
          <w:spacing w:val="0"/>
          <w:kern w:val="2"/>
          <w:sz w:val="32"/>
          <w:szCs w:val="32"/>
          <w:lang w:val="en-US" w:eastAsia="zh-CN"/>
        </w:rPr>
        <w:t>完成县乡OTN环网建设以及6万户有线数字电视用户高清、双向网络覆盖改造</w:t>
      </w:r>
      <w:r>
        <w:rPr>
          <w:rFonts w:hint="eastAsia" w:ascii="仿宋_GB2312" w:hAnsi="仿宋_GB2312" w:eastAsia="仿宋_GB2312" w:cs="仿宋_GB2312"/>
          <w:color w:val="auto"/>
          <w:sz w:val="32"/>
          <w:szCs w:val="32"/>
          <w:lang w:val="en-US" w:eastAsia="zh-CN"/>
        </w:rPr>
        <w:t>。南方红军三年游击战争纪念馆、县博物馆获评国家二级馆。大余作为唯一一个县级馆代表在全国革命纪念馆高质量发展论坛上作主旨发言。</w:t>
      </w:r>
    </w:p>
    <w:p w14:paraId="676878DD">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三是社会大局更加安定。</w:t>
      </w:r>
      <w:r>
        <w:rPr>
          <w:rFonts w:hint="eastAsia" w:ascii="仿宋_GB2312" w:hAnsi="仿宋_GB2312" w:eastAsia="仿宋_GB2312" w:cs="仿宋_GB2312"/>
          <w:color w:val="auto"/>
          <w:kern w:val="2"/>
          <w:sz w:val="32"/>
          <w:szCs w:val="32"/>
          <w:highlight w:val="none"/>
          <w:u w:val="none" w:color="auto"/>
          <w:lang w:val="en-US" w:eastAsia="zh-CN" w:bidi="ar-SA"/>
        </w:rPr>
        <w:t>常态化开展扫黑除恶斗争，严厉打击治理电信网络新型违法犯罪和养老诈骗犯罪，公众安全感保持省市“第一方阵”。</w:t>
      </w:r>
      <w:r>
        <w:rPr>
          <w:rFonts w:hint="eastAsia" w:ascii="仿宋_GB2312" w:hAnsi="仿宋_GB2312" w:eastAsia="仿宋_GB2312" w:cs="仿宋_GB2312"/>
          <w:color w:val="auto"/>
          <w:kern w:val="2"/>
          <w:sz w:val="32"/>
          <w:szCs w:val="32"/>
          <w:highlight w:val="none"/>
          <w:u w:val="none" w:color="auto"/>
          <w:lang w:val="en" w:eastAsia="zh-CN" w:bidi="ar-SA"/>
        </w:rPr>
        <w:t>扎实推进安全生产治本攻坚三年行动，全县安全生产形势总体平稳，</w:t>
      </w:r>
      <w:r>
        <w:rPr>
          <w:rFonts w:hint="eastAsia" w:ascii="仿宋_GB2312" w:hAnsi="仿宋_GB2312" w:eastAsia="仿宋_GB2312" w:cs="仿宋_GB2312"/>
          <w:color w:val="auto"/>
          <w:kern w:val="2"/>
          <w:sz w:val="32"/>
          <w:szCs w:val="32"/>
          <w:highlight w:val="none"/>
          <w:u w:val="none" w:color="auto"/>
          <w:lang w:val="en-US" w:eastAsia="zh-CN" w:bidi="ar-SA"/>
        </w:rPr>
        <w:t>大余获评</w:t>
      </w:r>
      <w:r>
        <w:rPr>
          <w:rFonts w:hint="eastAsia" w:ascii="仿宋_GB2312" w:hAnsi="仿宋_GB2312" w:eastAsia="仿宋_GB2312" w:cs="仿宋_GB2312"/>
          <w:color w:val="auto"/>
          <w:kern w:val="2"/>
          <w:sz w:val="32"/>
          <w:szCs w:val="32"/>
          <w:highlight w:val="none"/>
          <w:u w:val="none" w:color="auto"/>
          <w:lang w:val="en" w:eastAsia="zh-CN" w:bidi="ar-SA"/>
        </w:rPr>
        <w:t>2023年度</w:t>
      </w:r>
      <w:r>
        <w:rPr>
          <w:rFonts w:hint="eastAsia" w:ascii="仿宋_GB2312" w:hAnsi="仿宋_GB2312" w:eastAsia="仿宋_GB2312" w:cs="仿宋_GB2312"/>
          <w:color w:val="auto"/>
          <w:kern w:val="2"/>
          <w:sz w:val="32"/>
          <w:szCs w:val="32"/>
          <w:highlight w:val="none"/>
          <w:u w:val="none" w:color="auto"/>
          <w:lang w:val="en-US" w:eastAsia="zh-CN" w:bidi="ar-SA"/>
        </w:rPr>
        <w:t>全省</w:t>
      </w:r>
      <w:r>
        <w:rPr>
          <w:rFonts w:hint="eastAsia" w:ascii="仿宋_GB2312" w:hAnsi="仿宋_GB2312" w:eastAsia="仿宋_GB2312" w:cs="仿宋_GB2312"/>
          <w:color w:val="auto"/>
          <w:kern w:val="2"/>
          <w:sz w:val="32"/>
          <w:szCs w:val="32"/>
          <w:highlight w:val="none"/>
          <w:u w:val="none" w:color="auto"/>
          <w:lang w:val="en" w:eastAsia="zh-CN" w:bidi="ar-SA"/>
        </w:rPr>
        <w:t>消防工作优秀县，连续三年获评全省森林防灭火“平安春季行动”先进单位</w:t>
      </w:r>
      <w:r>
        <w:rPr>
          <w:rFonts w:hint="eastAsia" w:ascii="仿宋_GB2312" w:hAnsi="仿宋_GB2312" w:eastAsia="仿宋_GB2312" w:cs="仿宋_GB2312"/>
          <w:color w:val="auto"/>
          <w:kern w:val="2"/>
          <w:sz w:val="32"/>
          <w:szCs w:val="32"/>
          <w:highlight w:val="none"/>
          <w:u w:val="none" w:color="auto"/>
          <w:lang w:val="en-US" w:eastAsia="zh-CN" w:bidi="ar-SA"/>
        </w:rPr>
        <w:t>。江西下垄钨业有限公司井下炮烟中毒事故无脚本应急演练被省安委办、省减灾办评选为“十大案例”。</w:t>
      </w:r>
      <w:r>
        <w:rPr>
          <w:rFonts w:hint="eastAsia" w:ascii="仿宋_GB2312" w:hAnsi="黑体" w:eastAsia="仿宋_GB2312" w:cs="黑体"/>
          <w:color w:val="auto"/>
          <w:sz w:val="32"/>
          <w:szCs w:val="32"/>
          <w:u w:val="none"/>
          <w:lang w:eastAsia="zh-CN"/>
        </w:rPr>
        <w:t>全国非煤矿山安全生产重点监管县“摘帽”退出。</w:t>
      </w:r>
      <w:r>
        <w:rPr>
          <w:rFonts w:hint="eastAsia" w:ascii="仿宋_GB2312" w:hAnsi="黑体" w:eastAsia="仿宋_GB2312" w:cs="黑体"/>
          <w:color w:val="auto"/>
          <w:sz w:val="32"/>
          <w:szCs w:val="32"/>
          <w:u w:val="none"/>
          <w:lang w:val="en-US" w:eastAsia="zh-CN"/>
        </w:rPr>
        <w:t>大余获评全面依法治市考核优秀等次，先后在省、市法治政府建设推进会上作典型发言。</w:t>
      </w:r>
      <w:r>
        <w:rPr>
          <w:rFonts w:hint="eastAsia" w:ascii="仿宋_GB2312" w:hAnsi="仿宋_GB2312" w:eastAsia="仿宋_GB2312" w:cs="仿宋_GB2312"/>
          <w:color w:val="auto"/>
          <w:sz w:val="32"/>
          <w:szCs w:val="32"/>
          <w:lang w:val="en-US" w:eastAsia="zh-CN"/>
        </w:rPr>
        <w:t>持续推进国防动员和双拥共建，充分发挥工会、妇联、共青团等群团组织作用，社会大局更加和谐稳定。</w:t>
      </w:r>
    </w:p>
    <w:p w14:paraId="6D179AD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看到成绩的同时，我们也清醒地认识到，</w:t>
      </w:r>
      <w:r>
        <w:rPr>
          <w:rFonts w:hint="eastAsia" w:ascii="仿宋_GB2312" w:hAnsi="仿宋_GB2312" w:eastAsia="仿宋_GB2312" w:cs="仿宋_GB2312"/>
          <w:color w:val="auto"/>
          <w:sz w:val="32"/>
          <w:szCs w:val="32"/>
          <w:lang w:eastAsia="zh-CN"/>
        </w:rPr>
        <w:t>受外需不振、内需偏弱等因素影响，我县部分主要指标增速不及预期，高质量发展的基础还有待进一步夯实</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具体体现在：工业经济承压运行，形成有效投资偏慢，财政收支矛盾依然存在，民生保障仍有短板，等等</w:t>
      </w:r>
      <w:r>
        <w:rPr>
          <w:rFonts w:hint="eastAsia" w:ascii="仿宋_GB2312" w:hAnsi="仿宋_GB2312" w:eastAsia="仿宋_GB2312" w:cs="仿宋_GB2312"/>
          <w:color w:val="auto"/>
          <w:sz w:val="32"/>
          <w:szCs w:val="32"/>
        </w:rPr>
        <w:t>。对于这些问题，我们必须高度重视，采取有力措施，切实加以解决。</w:t>
      </w:r>
    </w:p>
    <w:p w14:paraId="04A1EEA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二、202</w:t>
      </w:r>
      <w:r>
        <w:rPr>
          <w:rFonts w:hint="eastAsia" w:ascii="黑体" w:hAnsi="黑体" w:eastAsia="黑体" w:cs="黑体"/>
          <w:color w:val="auto"/>
          <w:sz w:val="32"/>
          <w:szCs w:val="32"/>
          <w:lang w:val="en-US" w:eastAsia="zh-CN"/>
        </w:rPr>
        <w:t>5</w:t>
      </w:r>
      <w:r>
        <w:rPr>
          <w:rFonts w:hint="eastAsia" w:ascii="黑体" w:hAnsi="黑体" w:eastAsia="黑体" w:cs="黑体"/>
          <w:color w:val="auto"/>
          <w:sz w:val="32"/>
          <w:szCs w:val="32"/>
        </w:rPr>
        <w:t>年全县经济社会发展预期目标</w:t>
      </w:r>
    </w:p>
    <w:p w14:paraId="468CA98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lang w:val="en-US" w:eastAsia="zh-CN"/>
        </w:rPr>
        <w:t>（一）总体要求</w:t>
      </w:r>
    </w:p>
    <w:p w14:paraId="5A0BF82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宋体" w:hAnsi="宋体" w:eastAsia="黑体" w:cs="黑体"/>
          <w:b w:val="0"/>
          <w:bCs w:val="0"/>
          <w:color w:val="auto"/>
          <w:sz w:val="32"/>
          <w:szCs w:val="32"/>
          <w:u w:val="none" w:color="auto"/>
          <w:lang w:val="en-US" w:eastAsia="zh-CN"/>
        </w:rPr>
      </w:pPr>
      <w:r>
        <w:rPr>
          <w:rFonts w:hint="eastAsia" w:ascii="仿宋_GB2312" w:hAnsi="仿宋_GB2312" w:eastAsia="仿宋_GB2312" w:cs="仿宋_GB2312"/>
          <w:color w:val="auto"/>
          <w:sz w:val="32"/>
          <w:szCs w:val="32"/>
          <w:lang w:val="en-US" w:eastAsia="zh-CN"/>
        </w:rPr>
        <w:t>2025年是全面贯彻落实党的二十届三中全会精神的开局之年，也是实现“十四五”规划目标任务的收官之年。</w:t>
      </w:r>
      <w:r>
        <w:rPr>
          <w:rFonts w:hint="eastAsia" w:ascii="黑体" w:hAnsi="黑体" w:eastAsia="黑体" w:cs="黑体"/>
          <w:b w:val="0"/>
          <w:bCs w:val="0"/>
          <w:color w:val="000000"/>
          <w:kern w:val="2"/>
          <w:sz w:val="32"/>
          <w:szCs w:val="32"/>
          <w:u w:val="none" w:color="auto"/>
          <w:lang w:val="en-US" w:eastAsia="zh-CN"/>
        </w:rPr>
        <w:t>总体要求是：</w:t>
      </w:r>
      <w:r>
        <w:rPr>
          <w:rFonts w:hint="eastAsia" w:ascii="宋体" w:hAnsi="宋体" w:eastAsia="黑体" w:cs="黑体"/>
          <w:b w:val="0"/>
          <w:bCs w:val="0"/>
          <w:color w:val="auto"/>
          <w:sz w:val="32"/>
          <w:szCs w:val="32"/>
          <w:u w:val="none" w:color="auto"/>
          <w:lang w:val="en-US" w:eastAsia="zh-CN"/>
        </w:rPr>
        <w:t>以习近平新时代中国特色社会主义思想为指导，深入贯彻党的二十大和二十届二中、三中全会精神，全面落实习近平总书记考察江西重要讲话精神，以及中央、省委经济工作会议和省委十五届七次全会、市委六届八次全会、县委十五届八次全会精神，聚焦“走在前、勇争先、善作为”的目标要求，围绕省委打造“三大高地”、实施“五大战略”，坚持稳中求进工作总基调，完整准确全面贯彻新发展理念，加快构建新发展格局，坚持加快推动高质量发展主线，建设“五个基地”，实现“六个主要目标”，进一步全面深化改革，扩大高水平对外开放，建设现代化产业体系，更好统筹发展和安全，稳定预期、激发活力，推动经济持续回升向好，不断提高人民生活水平，保持社会和谐稳定，高质量完成“十四五”规划目标任务，为实现“十五五”良好开局打牢基础，奋力谱写中国式现代化大余篇章。</w:t>
      </w:r>
    </w:p>
    <w:p w14:paraId="76175617">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b/>
          <w:bCs/>
          <w:color w:val="auto"/>
          <w:sz w:val="32"/>
          <w:szCs w:val="32"/>
          <w:lang w:val="en-US" w:eastAsia="zh-CN"/>
        </w:rPr>
        <w:t>（二）预期目标</w:t>
      </w:r>
    </w:p>
    <w:p w14:paraId="01BB55B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坚持稳中求进、以进促稳，提出2025年全</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经济社会发展主要预期目标：地区生产总值增长5.8%左右，规上工业增加值增长</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%左右，一般公共预算收入增长2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%左右，固定资产投资增长6%左右，社会消费品零售总额增长6</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%左右，实际利用省外2000万元以上项目资金、实际使用外商直接投资额、外贸进出口促稳提质，城镇和农村居民人均可支配收入分别增长</w:t>
      </w:r>
      <w:r>
        <w:rPr>
          <w:rFonts w:hint="eastAsia" w:ascii="仿宋_GB2312" w:hAnsi="仿宋_GB2312" w:eastAsia="仿宋_GB2312" w:cs="仿宋_GB2312"/>
          <w:color w:val="auto"/>
          <w:sz w:val="32"/>
          <w:szCs w:val="32"/>
          <w:lang w:val="en-US" w:eastAsia="zh-CN"/>
        </w:rPr>
        <w:t>5.3</w:t>
      </w:r>
      <w:r>
        <w:rPr>
          <w:rFonts w:hint="eastAsia" w:ascii="仿宋_GB2312" w:hAnsi="仿宋_GB2312" w:eastAsia="仿宋_GB2312" w:cs="仿宋_GB2312"/>
          <w:color w:val="auto"/>
          <w:sz w:val="32"/>
          <w:szCs w:val="32"/>
        </w:rPr>
        <w:t>%、7.5%左右，节能减排完成省</w:t>
      </w:r>
      <w:r>
        <w:rPr>
          <w:rFonts w:hint="eastAsia" w:ascii="仿宋_GB2312" w:hAnsi="仿宋_GB2312" w:eastAsia="仿宋_GB2312" w:cs="仿宋_GB2312"/>
          <w:color w:val="auto"/>
          <w:sz w:val="32"/>
          <w:szCs w:val="32"/>
          <w:lang w:eastAsia="zh-CN"/>
        </w:rPr>
        <w:t>、市</w:t>
      </w:r>
      <w:r>
        <w:rPr>
          <w:rFonts w:hint="eastAsia" w:ascii="仿宋_GB2312" w:hAnsi="仿宋_GB2312" w:eastAsia="仿宋_GB2312" w:cs="仿宋_GB2312"/>
          <w:color w:val="auto"/>
          <w:sz w:val="32"/>
          <w:szCs w:val="32"/>
        </w:rPr>
        <w:t>下达任务</w:t>
      </w:r>
      <w:r>
        <w:rPr>
          <w:rFonts w:hint="eastAsia" w:ascii="仿宋_GB2312" w:hAnsi="仿宋_GB2312" w:eastAsia="仿宋_GB2312" w:cs="仿宋_GB2312"/>
          <w:color w:val="auto"/>
          <w:sz w:val="32"/>
          <w:szCs w:val="32"/>
          <w:lang w:eastAsia="zh-CN"/>
        </w:rPr>
        <w:t>。</w:t>
      </w:r>
    </w:p>
    <w:p w14:paraId="7F1D986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三、202</w:t>
      </w:r>
      <w:r>
        <w:rPr>
          <w:rFonts w:hint="eastAsia" w:ascii="黑体" w:hAnsi="黑体" w:eastAsia="黑体" w:cs="黑体"/>
          <w:color w:val="auto"/>
          <w:sz w:val="32"/>
          <w:szCs w:val="32"/>
          <w:lang w:val="en-US" w:eastAsia="zh-CN"/>
        </w:rPr>
        <w:t>5</w:t>
      </w:r>
      <w:r>
        <w:rPr>
          <w:rFonts w:hint="eastAsia" w:ascii="黑体" w:hAnsi="黑体" w:eastAsia="黑体" w:cs="黑体"/>
          <w:color w:val="auto"/>
          <w:sz w:val="32"/>
          <w:szCs w:val="32"/>
        </w:rPr>
        <w:t>年国民经济和社会发展的主要任务</w:t>
      </w:r>
    </w:p>
    <w:p w14:paraId="08F9D8C9">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color w:val="auto"/>
          <w:sz w:val="32"/>
          <w:szCs w:val="32"/>
          <w:lang w:val="en-US" w:eastAsia="zh-CN"/>
        </w:rPr>
      </w:pPr>
      <w:r>
        <w:rPr>
          <w:rFonts w:hint="eastAsia" w:ascii="楷体_GB2312" w:hAnsi="楷体_GB2312" w:eastAsia="楷体_GB2312" w:cs="楷体_GB2312"/>
          <w:b/>
          <w:bCs/>
          <w:color w:val="auto"/>
          <w:sz w:val="32"/>
          <w:szCs w:val="32"/>
          <w:lang w:val="en-US" w:eastAsia="zh-CN"/>
        </w:rPr>
        <w:t>（一）狠抓产业发展，推动发展质量更“优”</w:t>
      </w:r>
    </w:p>
    <w:p w14:paraId="6096EAE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一是深入推进新型工业化。</w:t>
      </w:r>
      <w:r>
        <w:rPr>
          <w:rFonts w:hint="eastAsia" w:ascii="仿宋_GB2312" w:hAnsi="仿宋_GB2312" w:eastAsia="仿宋_GB2312" w:cs="仿宋_GB2312"/>
          <w:color w:val="auto"/>
          <w:sz w:val="32"/>
          <w:szCs w:val="32"/>
          <w:lang w:val="en-US" w:eastAsia="zh-CN"/>
        </w:rPr>
        <w:t>深入实施</w:t>
      </w:r>
      <w:r>
        <w:rPr>
          <w:rFonts w:hint="default" w:ascii="仿宋_GB2312" w:hAnsi="仿宋_GB2312" w:eastAsia="仿宋_GB2312" w:cs="仿宋_GB2312"/>
          <w:color w:val="auto"/>
          <w:sz w:val="32"/>
          <w:szCs w:val="32"/>
          <w:lang w:val="en-US" w:eastAsia="zh-CN"/>
        </w:rPr>
        <w:t>省“1269”、市“7510”</w:t>
      </w:r>
      <w:r>
        <w:rPr>
          <w:rFonts w:hint="eastAsia" w:ascii="仿宋_GB2312" w:hAnsi="仿宋_GB2312" w:eastAsia="仿宋_GB2312" w:cs="仿宋_GB2312"/>
          <w:color w:val="auto"/>
          <w:sz w:val="32"/>
          <w:szCs w:val="32"/>
          <w:lang w:val="en-US" w:eastAsia="zh-CN"/>
        </w:rPr>
        <w:t>、县</w:t>
      </w:r>
      <w:r>
        <w:rPr>
          <w:rFonts w:hint="default" w:ascii="仿宋_GB2312" w:hAnsi="仿宋_GB2312" w:eastAsia="仿宋_GB2312" w:cs="仿宋_GB2312"/>
          <w:color w:val="auto"/>
          <w:sz w:val="32"/>
          <w:szCs w:val="32"/>
          <w:lang w:val="en-US" w:eastAsia="zh-CN"/>
        </w:rPr>
        <w:t>“4312”行动计划</w:t>
      </w:r>
      <w:r>
        <w:rPr>
          <w:rFonts w:hint="eastAsia" w:ascii="仿宋_GB2312" w:hAnsi="仿宋_GB2312" w:eastAsia="仿宋_GB2312" w:cs="仿宋_GB2312"/>
          <w:color w:val="auto"/>
          <w:sz w:val="32"/>
          <w:szCs w:val="32"/>
          <w:lang w:val="en-US" w:eastAsia="zh-CN"/>
        </w:rPr>
        <w:t>，做优做强新能源和新能源汽车配件等4条制造业重点产业链，</w:t>
      </w:r>
      <w:r>
        <w:rPr>
          <w:rFonts w:hint="eastAsia" w:ascii="仿宋_GB2312" w:hAnsi="仿宋_GB2312" w:eastAsia="仿宋_GB2312" w:cs="仿宋_GB2312"/>
          <w:color w:val="auto"/>
          <w:kern w:val="0"/>
          <w:sz w:val="32"/>
          <w:szCs w:val="32"/>
          <w:highlight w:val="none"/>
          <w:u w:val="none"/>
          <w:lang w:val="en-US" w:eastAsia="zh-CN"/>
        </w:rPr>
        <w:t>集中力量抓好广荣钨业、元泽钨钼、海泰克等产业项目建设，</w:t>
      </w:r>
      <w:r>
        <w:rPr>
          <w:rFonts w:hint="eastAsia" w:ascii="仿宋_GB2312" w:hAnsi="仿宋_GB2312" w:eastAsia="仿宋_GB2312" w:cs="仿宋_GB2312"/>
          <w:color w:val="auto"/>
          <w:kern w:val="2"/>
          <w:sz w:val="32"/>
          <w:szCs w:val="32"/>
          <w:lang w:val="en-US" w:eastAsia="zh-CN" w:bidi="ar-SA"/>
        </w:rPr>
        <w:t>推动品信新</w:t>
      </w:r>
      <w:r>
        <w:rPr>
          <w:rFonts w:hint="eastAsia" w:ascii="仿宋_GB2312" w:hAnsi="仿宋_GB2312" w:eastAsia="仿宋_GB2312" w:cs="仿宋_GB2312"/>
          <w:b w:val="0"/>
          <w:bCs w:val="0"/>
          <w:color w:val="auto"/>
          <w:kern w:val="2"/>
          <w:sz w:val="32"/>
          <w:szCs w:val="32"/>
          <w:lang w:val="en-US" w:eastAsia="zh-CN" w:bidi="ar-SA"/>
        </w:rPr>
        <w:t>材、明发矿业等7</w:t>
      </w:r>
      <w:r>
        <w:rPr>
          <w:rFonts w:hint="eastAsia" w:ascii="仿宋_GB2312" w:hAnsi="仿宋_GB2312" w:eastAsia="仿宋_GB2312" w:cs="仿宋_GB2312"/>
          <w:color w:val="auto"/>
          <w:kern w:val="2"/>
          <w:sz w:val="32"/>
          <w:szCs w:val="32"/>
          <w:lang w:val="en-US" w:eastAsia="zh-CN" w:bidi="ar-SA"/>
        </w:rPr>
        <w:t>个重点项目投产发挥效益，</w:t>
      </w:r>
      <w:r>
        <w:rPr>
          <w:rFonts w:hint="eastAsia" w:ascii="仿宋_GB2312" w:hAnsi="仿宋_GB2312" w:eastAsia="仿宋_GB2312" w:cs="仿宋_GB2312"/>
          <w:b w:val="0"/>
          <w:bCs w:val="0"/>
          <w:color w:val="auto"/>
          <w:kern w:val="2"/>
          <w:sz w:val="32"/>
          <w:szCs w:val="32"/>
          <w:lang w:val="en-US" w:eastAsia="zh-CN" w:bidi="ar-SA"/>
        </w:rPr>
        <w:t>新增入规企业15家以上。高标准推进南安片区数字经济集聚区建设，加快制造业数字化转</w:t>
      </w:r>
      <w:r>
        <w:rPr>
          <w:rFonts w:hint="eastAsia" w:ascii="仿宋_GB2312" w:hAnsi="仿宋_GB2312" w:eastAsia="仿宋_GB2312" w:cs="仿宋_GB2312"/>
          <w:color w:val="auto"/>
          <w:sz w:val="32"/>
          <w:szCs w:val="32"/>
          <w:lang w:val="en-US" w:eastAsia="zh-CN"/>
        </w:rPr>
        <w:t>型和工业领域设备更新，推动制造业规上企业数改全覆盖，力争新增数字化转型标杆企业8家以上、省级“数智工厂企业”4家、省级“小灯塔企业”2家、省级“5G+工业互联网示范企业”2家。推进开发区改革创新，深化“管委会+公司”运营模式，</w:t>
      </w:r>
      <w:r>
        <w:rPr>
          <w:rFonts w:hint="eastAsia" w:ascii="仿宋_GB2312" w:hAnsi="仿宋_GB2312" w:eastAsia="仿宋_GB2312" w:cs="仿宋_GB2312"/>
          <w:color w:val="000000"/>
          <w:sz w:val="32"/>
          <w:szCs w:val="32"/>
          <w:lang w:val="en-US" w:eastAsia="zh-CN"/>
        </w:rPr>
        <w:t>建立健全投融资、管理运营机制，塑造市场化运作新优势。</w:t>
      </w:r>
      <w:r>
        <w:rPr>
          <w:rFonts w:hint="eastAsia" w:ascii="仿宋_GB2312" w:hAnsi="仿宋_GB2312" w:eastAsia="仿宋_GB2312" w:cs="仿宋_GB2312"/>
          <w:color w:val="auto"/>
          <w:sz w:val="32"/>
          <w:szCs w:val="32"/>
          <w:lang w:val="en-US" w:eastAsia="zh-CN"/>
        </w:rPr>
        <w:t>实施新华工业小区标准厂房、中科智谷产业园等园区基础设施建设项目，全面提升园区承载力。</w:t>
      </w:r>
    </w:p>
    <w:p w14:paraId="05EABEDD">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二是加快推进农业现代化。</w:t>
      </w:r>
      <w:r>
        <w:rPr>
          <w:rFonts w:hint="eastAsia" w:ascii="仿宋_GB2312" w:hAnsi="仿宋_GB2312" w:eastAsia="仿宋_GB2312" w:cs="仿宋_GB2312"/>
          <w:color w:val="auto"/>
          <w:sz w:val="32"/>
          <w:szCs w:val="32"/>
          <w:lang w:val="en-US" w:eastAsia="zh-CN"/>
        </w:rPr>
        <w:t>落实最严格的耕地保护制度，全面推行“田长制”，坚决遏制耕地“非农化”、防止“非粮化”。推动农业生产“大托管”服务改革试点扩面提质增效，</w:t>
      </w:r>
      <w:r>
        <w:rPr>
          <w:rFonts w:hint="eastAsia" w:ascii="仿宋_GB2312" w:hAnsi="仿宋_GB2312" w:eastAsia="仿宋_GB2312" w:cs="仿宋_GB2312"/>
          <w:b w:val="0"/>
          <w:bCs w:val="0"/>
          <w:color w:val="auto"/>
          <w:sz w:val="32"/>
          <w:szCs w:val="32"/>
          <w:highlight w:val="none"/>
          <w:lang w:val="en-US" w:eastAsia="zh-CN"/>
        </w:rPr>
        <w:t>建成启用</w:t>
      </w:r>
      <w:r>
        <w:rPr>
          <w:rFonts w:hint="eastAsia" w:ascii="仿宋_GB2312" w:hAnsi="仿宋_GB2312" w:eastAsia="仿宋_GB2312" w:cs="仿宋_GB2312"/>
          <w:color w:val="auto"/>
          <w:sz w:val="32"/>
          <w:szCs w:val="32"/>
          <w:lang w:val="en-US" w:eastAsia="zh-CN"/>
        </w:rPr>
        <w:t>县粮食应急储备库（二期），全面完成高标准农田建设、</w:t>
      </w:r>
      <w:r>
        <w:rPr>
          <w:rFonts w:hint="eastAsia" w:ascii="仿宋_GB2312" w:hAnsi="仿宋_GB2312" w:eastAsia="仿宋_GB2312" w:cs="仿宋_GB2312"/>
          <w:color w:val="auto"/>
          <w:sz w:val="32"/>
          <w:szCs w:val="32"/>
        </w:rPr>
        <w:t>粮食生产</w:t>
      </w:r>
      <w:r>
        <w:rPr>
          <w:rFonts w:hint="eastAsia" w:ascii="仿宋_GB2312" w:hAnsi="仿宋_GB2312" w:eastAsia="仿宋_GB2312" w:cs="仿宋_GB2312"/>
          <w:color w:val="auto"/>
          <w:sz w:val="32"/>
          <w:szCs w:val="32"/>
          <w:lang w:eastAsia="zh-CN"/>
        </w:rPr>
        <w:t>年度目标任务</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b w:val="0"/>
          <w:bCs w:val="0"/>
          <w:color w:val="auto"/>
          <w:sz w:val="32"/>
          <w:szCs w:val="32"/>
          <w:highlight w:val="none"/>
          <w:lang w:val="en-US" w:eastAsia="zh-CN"/>
        </w:rPr>
        <w:t>持续延伸“粮头食尾”“农头工尾”产业链条，大力推进“大余麻鸭”全产业链发展，推广“赣南早虾双季稻”等特色种养，加快南华矿业万头肉牛屠宰加工等农业延链补链</w:t>
      </w:r>
      <w:r>
        <w:rPr>
          <w:rFonts w:hint="eastAsia" w:ascii="仿宋_GB2312" w:hAnsi="仿宋_GB2312" w:eastAsia="仿宋_GB2312" w:cs="仿宋_GB2312"/>
          <w:color w:val="auto"/>
          <w:sz w:val="32"/>
          <w:szCs w:val="32"/>
          <w:lang w:val="en-US" w:eastAsia="zh-CN"/>
        </w:rPr>
        <w:t>项目落地建设，</w:t>
      </w:r>
      <w:r>
        <w:rPr>
          <w:rFonts w:hint="eastAsia" w:ascii="仿宋_GB2312" w:hAnsi="仿宋_GB2312" w:eastAsia="仿宋_GB2312" w:cs="仿宋_GB2312"/>
          <w:b w:val="0"/>
          <w:bCs w:val="0"/>
          <w:color w:val="auto"/>
          <w:sz w:val="32"/>
          <w:szCs w:val="32"/>
          <w:highlight w:val="none"/>
          <w:lang w:val="en-US" w:eastAsia="zh-CN"/>
        </w:rPr>
        <w:t>力争培育年营收超亿元企业和引进投资额超5000万元的农产品（预制菜）加工项目实现新突破，提升</w:t>
      </w:r>
      <w:r>
        <w:rPr>
          <w:rFonts w:hint="eastAsia" w:ascii="仿宋_GB2312" w:hAnsi="仿宋_GB2312" w:eastAsia="仿宋_GB2312" w:cs="仿宋_GB2312"/>
          <w:color w:val="auto"/>
          <w:sz w:val="32"/>
          <w:szCs w:val="32"/>
          <w:highlight w:val="none"/>
          <w:lang w:eastAsia="zh-CN"/>
        </w:rPr>
        <w:t>粤港澳大湾区</w:t>
      </w:r>
      <w:r>
        <w:rPr>
          <w:rFonts w:hint="eastAsia" w:ascii="仿宋_GB2312" w:hAnsi="仿宋_GB2312" w:eastAsia="仿宋_GB2312" w:cs="仿宋_GB2312"/>
          <w:color w:val="auto"/>
          <w:sz w:val="32"/>
          <w:szCs w:val="32"/>
          <w:highlight w:val="none"/>
        </w:rPr>
        <w:t>绿色食品供应基地</w:t>
      </w:r>
      <w:r>
        <w:rPr>
          <w:rFonts w:hint="eastAsia" w:ascii="仿宋_GB2312" w:hAnsi="仿宋_GB2312" w:eastAsia="仿宋_GB2312" w:cs="仿宋_GB2312"/>
          <w:b w:val="0"/>
          <w:bCs w:val="0"/>
          <w:color w:val="auto"/>
          <w:sz w:val="32"/>
          <w:szCs w:val="32"/>
          <w:highlight w:val="none"/>
          <w:lang w:val="en-US" w:eastAsia="zh-CN"/>
        </w:rPr>
        <w:t>影响力，积极争创省级现代农业产业示范园。</w:t>
      </w:r>
    </w:p>
    <w:p w14:paraId="14E8C48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三是大力发展现代服务业。</w:t>
      </w:r>
      <w:r>
        <w:rPr>
          <w:rFonts w:hint="eastAsia" w:ascii="仿宋_GB2312" w:hAnsi="仿宋_GB2312" w:eastAsia="仿宋_GB2312" w:cs="仿宋_GB2312"/>
          <w:b w:val="0"/>
          <w:bCs w:val="0"/>
          <w:color w:val="000000"/>
          <w:sz w:val="32"/>
          <w:szCs w:val="32"/>
        </w:rPr>
        <w:t>制定引客入余新政策，</w:t>
      </w:r>
      <w:r>
        <w:rPr>
          <w:rFonts w:hint="eastAsia" w:ascii="仿宋_GB2312" w:hAnsi="仿宋_GB2312" w:eastAsia="仿宋_GB2312" w:cs="仿宋_GB2312"/>
          <w:b w:val="0"/>
          <w:bCs w:val="0"/>
          <w:color w:val="auto"/>
          <w:kern w:val="2"/>
          <w:sz w:val="32"/>
          <w:szCs w:val="32"/>
          <w:lang w:val="en-US" w:eastAsia="zh-CN" w:bidi="ar-SA"/>
        </w:rPr>
        <w:t>成立县旅游协会。</w:t>
      </w:r>
      <w:r>
        <w:rPr>
          <w:rFonts w:hint="eastAsia" w:ascii="仿宋_GB2312" w:hAnsi="仿宋_GB2312" w:eastAsia="仿宋_GB2312" w:cs="仿宋_GB2312"/>
          <w:b w:val="0"/>
          <w:bCs w:val="0"/>
          <w:color w:val="auto"/>
          <w:kern w:val="2"/>
          <w:sz w:val="32"/>
          <w:szCs w:val="32"/>
          <w:lang w:val="en-US" w:eastAsia="zh-CN" w:bidi="ar"/>
          <w:woUserID w:val="0"/>
        </w:rPr>
        <w:t>推动丫山、梅关等重点景区提质增效，鼓励丫山申报联合国世界旅游组织“最佳旅游乡村”，盘活运营西华山国家矿山公园旅游度假区，</w:t>
      </w:r>
      <w:r>
        <w:rPr>
          <w:rFonts w:hint="eastAsia" w:ascii="仿宋_GB2312" w:hAnsi="仿宋_GB2312" w:eastAsia="仿宋_GB2312" w:cs="仿宋_GB2312"/>
          <w:color w:val="auto"/>
          <w:sz w:val="32"/>
          <w:szCs w:val="32"/>
          <w:lang w:val="en-US" w:eastAsia="zh-CN"/>
        </w:rPr>
        <w:t>开工建设</w:t>
      </w:r>
      <w:r>
        <w:rPr>
          <w:rFonts w:hint="eastAsia" w:ascii="仿宋_GB2312" w:hAnsi="仿宋_GB2312" w:eastAsia="仿宋_GB2312" w:cs="仿宋_GB2312"/>
          <w:b w:val="0"/>
          <w:bCs w:val="0"/>
          <w:color w:val="auto"/>
          <w:sz w:val="32"/>
          <w:szCs w:val="32"/>
          <w:lang w:val="en-US" w:eastAsia="zh-CN"/>
        </w:rPr>
        <w:t>现代影视产业基地，</w:t>
      </w:r>
      <w:r>
        <w:rPr>
          <w:rFonts w:hint="eastAsia" w:ascii="仿宋_GB2312" w:hAnsi="仿宋_GB2312" w:eastAsia="仿宋_GB2312" w:cs="仿宋_GB2312"/>
          <w:b w:val="0"/>
          <w:bCs w:val="0"/>
          <w:color w:val="000000"/>
          <w:sz w:val="32"/>
          <w:szCs w:val="32"/>
          <w:highlight w:val="none"/>
        </w:rPr>
        <w:t>完成阳明心园项目建设</w:t>
      </w:r>
      <w:r>
        <w:rPr>
          <w:rFonts w:hint="eastAsia" w:cs="仿宋_GB2312"/>
          <w:b w:val="0"/>
          <w:bCs w:val="0"/>
          <w:color w:val="000000"/>
          <w:sz w:val="32"/>
          <w:szCs w:val="32"/>
          <w:highlight w:val="none"/>
          <w:lang w:eastAsia="zh-CN"/>
        </w:rPr>
        <w:t>，</w:t>
      </w:r>
      <w:r>
        <w:rPr>
          <w:rFonts w:hint="eastAsia" w:ascii="仿宋_GB2312" w:hAnsi="仿宋_GB2312" w:eastAsia="仿宋_GB2312" w:cs="仿宋_GB2312"/>
          <w:b w:val="0"/>
          <w:bCs w:val="0"/>
          <w:color w:val="auto"/>
          <w:kern w:val="2"/>
          <w:sz w:val="32"/>
          <w:szCs w:val="32"/>
          <w:lang w:val="en-US" w:eastAsia="zh-CN" w:bidi="ar"/>
          <w:woUserID w:val="0"/>
        </w:rPr>
        <w:t>打造高品质旅游目的地，努力创建全省第四批“风景独好”旅游名县。</w:t>
      </w:r>
      <w:r>
        <w:rPr>
          <w:rFonts w:hint="eastAsia" w:ascii="仿宋_GB2312" w:hAnsi="仿宋_GB2312" w:eastAsia="仿宋_GB2312" w:cs="仿宋_GB2312"/>
          <w:color w:val="auto"/>
          <w:sz w:val="32"/>
          <w:szCs w:val="32"/>
          <w:lang w:val="en-US" w:eastAsia="zh-CN"/>
        </w:rPr>
        <w:t>做强赛事经济，</w:t>
      </w:r>
      <w:r>
        <w:rPr>
          <w:rFonts w:hint="eastAsia" w:ascii="仿宋_GB2312" w:hAnsi="仿宋_GB2312" w:eastAsia="仿宋_GB2312" w:cs="仿宋_GB2312"/>
          <w:b w:val="0"/>
          <w:bCs w:val="0"/>
          <w:color w:val="auto"/>
          <w:sz w:val="32"/>
          <w:szCs w:val="32"/>
          <w:lang w:val="en-US" w:eastAsia="zh-CN"/>
        </w:rPr>
        <w:t>启动实施</w:t>
      </w:r>
      <w:r>
        <w:rPr>
          <w:rFonts w:hint="eastAsia" w:ascii="仿宋_GB2312" w:hAnsi="仿宋_GB2312" w:eastAsia="仿宋_GB2312" w:cs="仿宋_GB2312"/>
          <w:color w:val="auto"/>
          <w:kern w:val="2"/>
          <w:sz w:val="32"/>
          <w:szCs w:val="32"/>
          <w:highlight w:val="none"/>
          <w:u w:val="none" w:color="auto"/>
          <w:lang w:val="en-US" w:eastAsia="zh-CN" w:bidi="ar-SA"/>
        </w:rPr>
        <w:t>越野e族江西大余森林英雄会永久会场建设，</w:t>
      </w:r>
      <w:r>
        <w:rPr>
          <w:rFonts w:hint="eastAsia" w:ascii="仿宋_GB2312" w:hAnsi="仿宋_GB2312" w:eastAsia="仿宋_GB2312" w:cs="仿宋_GB2312"/>
          <w:color w:val="auto"/>
          <w:sz w:val="32"/>
          <w:szCs w:val="32"/>
          <w:lang w:val="en-US" w:eastAsia="zh-CN"/>
        </w:rPr>
        <w:t>打造越野e族森林英雄会、森勇毅径马拉松等系列精品赛事品牌。持续扩大商贸消费，加力推进消费品以旧换新，推动家电换“智”、家装厨卫“焕新”。</w:t>
      </w:r>
      <w:r>
        <w:rPr>
          <w:rFonts w:hint="default" w:ascii="仿宋_GB2312" w:hAnsi="仿宋_GB2312" w:eastAsia="仿宋_GB2312" w:cs="仿宋_GB2312"/>
          <w:color w:val="auto"/>
          <w:sz w:val="32"/>
          <w:szCs w:val="32"/>
          <w:lang w:eastAsia="zh-CN"/>
        </w:rPr>
        <w:t>依托</w:t>
      </w:r>
      <w:r>
        <w:rPr>
          <w:rFonts w:hint="default" w:ascii="仿宋_GB2312" w:hAnsi="仿宋_GB2312" w:eastAsia="仿宋_GB2312" w:cs="仿宋_GB2312"/>
          <w:color w:val="auto"/>
          <w:sz w:val="32"/>
          <w:szCs w:val="32"/>
        </w:rPr>
        <w:t>“南安府宴”“烫皮小吃”“至香芋荷”等系列特色餐饮，</w:t>
      </w:r>
      <w:r>
        <w:rPr>
          <w:rFonts w:hint="eastAsia" w:ascii="仿宋_GB2312" w:hAnsi="仿宋_GB2312" w:eastAsia="仿宋_GB2312" w:cs="仿宋_GB2312"/>
          <w:color w:val="auto"/>
          <w:sz w:val="32"/>
          <w:szCs w:val="32"/>
          <w:lang w:eastAsia="zh-CN"/>
        </w:rPr>
        <w:t>做</w:t>
      </w:r>
      <w:r>
        <w:rPr>
          <w:rFonts w:hint="eastAsia" w:ascii="仿宋_GB2312" w:hAnsi="仿宋_GB2312" w:eastAsia="仿宋_GB2312" w:cs="仿宋_GB2312"/>
          <w:color w:val="auto"/>
          <w:sz w:val="32"/>
          <w:szCs w:val="32"/>
        </w:rPr>
        <w:t>足“夜市经济”“特色餐饮</w:t>
      </w:r>
      <w:r>
        <w:rPr>
          <w:rFonts w:hint="eastAsia" w:ascii="仿宋_GB2312" w:hAnsi="仿宋_GB2312" w:eastAsia="仿宋_GB2312" w:cs="仿宋_GB2312"/>
          <w:color w:val="auto"/>
          <w:sz w:val="32"/>
          <w:szCs w:val="32"/>
          <w:lang w:eastAsia="zh-CN"/>
        </w:rPr>
        <w:t>食品</w:t>
      </w:r>
      <w:r>
        <w:rPr>
          <w:rFonts w:hint="eastAsia" w:ascii="仿宋_GB2312" w:hAnsi="仿宋_GB2312" w:eastAsia="仿宋_GB2312" w:cs="仿宋_GB2312"/>
          <w:color w:val="auto"/>
          <w:sz w:val="32"/>
          <w:szCs w:val="32"/>
        </w:rPr>
        <w:t>”文章</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激活消费热点，释放消费潜力。</w:t>
      </w:r>
    </w:p>
    <w:p w14:paraId="543F3E1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color w:val="auto"/>
          <w:sz w:val="32"/>
          <w:szCs w:val="32"/>
          <w:lang w:val="en-US" w:eastAsia="zh-CN"/>
        </w:rPr>
      </w:pPr>
      <w:r>
        <w:rPr>
          <w:rFonts w:hint="eastAsia" w:ascii="楷体_GB2312" w:hAnsi="楷体_GB2312" w:eastAsia="楷体_GB2312" w:cs="楷体_GB2312"/>
          <w:b/>
          <w:bCs/>
          <w:color w:val="auto"/>
          <w:sz w:val="32"/>
          <w:szCs w:val="32"/>
          <w:lang w:val="en-US" w:eastAsia="zh-CN"/>
        </w:rPr>
        <w:t>（二）狠抓项目建设，推动发展基础更“实”</w:t>
      </w:r>
    </w:p>
    <w:p w14:paraId="21A9CD0C">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一是紧盯政策谋项目。</w:t>
      </w:r>
      <w:r>
        <w:rPr>
          <w:rFonts w:hint="eastAsia" w:ascii="仿宋_GB2312" w:hAnsi="仿宋_GB2312" w:eastAsia="仿宋_GB2312" w:cs="仿宋_GB2312"/>
          <w:color w:val="auto"/>
          <w:sz w:val="32"/>
          <w:szCs w:val="32"/>
          <w:u w:val="none"/>
          <w:lang w:val="en-US" w:eastAsia="zh-CN"/>
        </w:rPr>
        <w:t>准确把握</w:t>
      </w:r>
      <w:r>
        <w:rPr>
          <w:rFonts w:hint="eastAsia" w:ascii="仿宋_GB2312" w:hAnsi="仿宋_GB2312" w:eastAsia="仿宋_GB2312" w:cs="仿宋_GB2312"/>
          <w:b w:val="0"/>
          <w:bCs w:val="0"/>
          <w:color w:val="auto"/>
          <w:sz w:val="32"/>
          <w:szCs w:val="32"/>
          <w:u w:val="none"/>
          <w:lang w:val="en-US" w:eastAsia="zh-CN"/>
        </w:rPr>
        <w:t>上级政策投向，精准谋划“两重”“两新”等一批符合国家政策支持重点项目，努力在中央预算内、超长期国债等领域争取更大资金份额。</w:t>
      </w:r>
      <w:r>
        <w:rPr>
          <w:rFonts w:hint="eastAsia" w:ascii="仿宋_GB2312" w:hAnsi="仿宋_GB2312" w:eastAsia="仿宋_GB2312" w:cs="仿宋_GB2312"/>
          <w:color w:val="auto"/>
          <w:sz w:val="32"/>
          <w:szCs w:val="32"/>
          <w:lang w:val="en-US" w:eastAsia="zh-CN"/>
        </w:rPr>
        <w:t>高质量编制“十五五”规划，在基础设施、工业、社会事业、文旅融合等领域谋划一批打基础、管长远、惠民生的</w:t>
      </w:r>
      <w:r>
        <w:rPr>
          <w:rFonts w:hint="eastAsia" w:ascii="仿宋_GB2312" w:hAnsi="仿宋_GB2312" w:eastAsia="仿宋_GB2312" w:cs="仿宋_GB2312"/>
          <w:color w:val="auto"/>
          <w:sz w:val="32"/>
          <w:szCs w:val="32"/>
        </w:rPr>
        <w:t>重大战略任务、重大改革举措、重大工程项目</w:t>
      </w:r>
      <w:r>
        <w:rPr>
          <w:rFonts w:hint="eastAsia" w:ascii="仿宋_GB2312" w:hAnsi="仿宋_GB2312" w:eastAsia="仿宋_GB2312" w:cs="仿宋_GB2312"/>
          <w:color w:val="auto"/>
          <w:sz w:val="32"/>
          <w:szCs w:val="32"/>
          <w:lang w:val="en-US" w:eastAsia="zh-CN"/>
        </w:rPr>
        <w:t>，力争形成200个项目、总投资1600亿元以上的“十五五”规划重大项目库。谋划推动赣韶铁路扩能、添锦潭水库扩建、大余县抽水蓄能项目、赣州高新职业学院等项目纳入国家、省、市规划盘子。</w:t>
      </w:r>
    </w:p>
    <w:p w14:paraId="76DD2C1D">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u w:val="none"/>
          <w:lang w:val="en-US" w:eastAsia="zh-CN"/>
        </w:rPr>
        <w:t>二是主动出击引项目。</w:t>
      </w:r>
      <w:r>
        <w:rPr>
          <w:rFonts w:hint="eastAsia" w:ascii="仿宋_GB2312" w:hAnsi="仿宋_GB2312" w:eastAsia="仿宋_GB2312" w:cs="仿宋_GB2312"/>
          <w:b w:val="0"/>
          <w:bCs w:val="0"/>
          <w:color w:val="000000"/>
          <w:sz w:val="32"/>
          <w:szCs w:val="32"/>
          <w:lang w:val="en-US" w:eastAsia="zh-CN"/>
        </w:rPr>
        <w:t>加快出台大余招商引资新政，</w:t>
      </w:r>
      <w:r>
        <w:rPr>
          <w:rFonts w:hint="eastAsia" w:ascii="仿宋_GB2312" w:hAnsi="仿宋_GB2312" w:eastAsia="仿宋_GB2312" w:cs="仿宋_GB2312"/>
          <w:color w:val="auto"/>
          <w:sz w:val="32"/>
          <w:szCs w:val="32"/>
        </w:rPr>
        <w:t>围绕传统产业、新兴产业和未来产业</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推行“政府+公司+专业机构”联动招商</w:t>
      </w:r>
      <w:r>
        <w:rPr>
          <w:rFonts w:hint="eastAsia" w:ascii="仿宋_GB2312" w:hAnsi="仿宋_GB2312" w:eastAsia="仿宋_GB2312" w:cs="仿宋_GB2312"/>
          <w:color w:val="auto"/>
          <w:sz w:val="32"/>
          <w:szCs w:val="32"/>
          <w:lang w:eastAsia="zh-CN"/>
        </w:rPr>
        <w:t>，探索</w:t>
      </w:r>
      <w:r>
        <w:rPr>
          <w:rFonts w:hint="eastAsia" w:ascii="仿宋_GB2312" w:hAnsi="仿宋_GB2312" w:eastAsia="仿宋_GB2312" w:cs="仿宋_GB2312"/>
          <w:color w:val="auto"/>
          <w:sz w:val="32"/>
          <w:szCs w:val="32"/>
        </w:rPr>
        <w:t>链式招商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资本招商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资源招商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平台招商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以商招商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飞地招商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应用场景招商</w:t>
      </w:r>
      <w:r>
        <w:rPr>
          <w:rFonts w:hint="eastAsia" w:ascii="仿宋_GB2312" w:hAnsi="仿宋_GB2312" w:eastAsia="仿宋_GB2312" w:cs="仿宋_GB2312"/>
          <w:color w:val="auto"/>
          <w:sz w:val="32"/>
          <w:szCs w:val="32"/>
          <w:lang w:eastAsia="zh-CN"/>
        </w:rPr>
        <w:t>等招商新模式，</w:t>
      </w:r>
      <w:r>
        <w:rPr>
          <w:rFonts w:hint="eastAsia" w:ascii="仿宋_GB2312" w:hAnsi="仿宋_GB2312" w:eastAsia="仿宋_GB2312" w:cs="仿宋_GB2312"/>
          <w:color w:val="auto"/>
          <w:sz w:val="32"/>
          <w:szCs w:val="32"/>
          <w:u w:val="none"/>
          <w:lang w:eastAsia="zh-CN"/>
        </w:rPr>
        <w:t>深度对接</w:t>
      </w:r>
      <w:r>
        <w:rPr>
          <w:rFonts w:hint="eastAsia" w:ascii="仿宋_GB2312" w:hAnsi="仿宋_GB2312" w:eastAsia="仿宋_GB2312" w:cs="仿宋_GB2312"/>
          <w:color w:val="auto"/>
          <w:sz w:val="32"/>
          <w:szCs w:val="32"/>
          <w:u w:val="none"/>
          <w:lang w:val="en-US" w:eastAsia="zh-CN"/>
        </w:rPr>
        <w:t>粤港澳</w:t>
      </w:r>
      <w:r>
        <w:rPr>
          <w:rFonts w:hint="eastAsia" w:ascii="仿宋_GB2312" w:hAnsi="仿宋_GB2312" w:eastAsia="仿宋_GB2312" w:cs="仿宋_GB2312"/>
          <w:color w:val="auto"/>
          <w:sz w:val="32"/>
          <w:szCs w:val="32"/>
          <w:u w:val="none"/>
          <w:lang w:eastAsia="zh-CN"/>
        </w:rPr>
        <w:t>大湾区、长三角、海西经济区等重点区域，积极承接产业转移，</w:t>
      </w:r>
      <w:r>
        <w:rPr>
          <w:rFonts w:hint="eastAsia" w:ascii="仿宋_GB2312" w:hAnsi="仿宋_GB2312" w:eastAsia="仿宋_GB2312" w:cs="仿宋_GB2312"/>
          <w:color w:val="auto"/>
          <w:sz w:val="32"/>
          <w:szCs w:val="32"/>
          <w:u w:val="none"/>
          <w:lang w:val="en-US" w:eastAsia="zh-CN"/>
        </w:rPr>
        <w:t>办好“粤企入赣”</w:t>
      </w:r>
      <w:r>
        <w:rPr>
          <w:rFonts w:hint="eastAsia" w:ascii="仿宋_GB2312" w:hAnsi="仿宋_GB2312" w:eastAsia="仿宋_GB2312" w:cs="仿宋_GB2312"/>
          <w:color w:val="auto"/>
          <w:sz w:val="32"/>
          <w:szCs w:val="32"/>
          <w:u w:val="none"/>
        </w:rPr>
        <w:t>等系列</w:t>
      </w:r>
      <w:r>
        <w:rPr>
          <w:rFonts w:hint="eastAsia" w:ascii="仿宋_GB2312" w:hAnsi="仿宋_GB2312" w:eastAsia="仿宋_GB2312" w:cs="仿宋_GB2312"/>
          <w:color w:val="auto"/>
          <w:sz w:val="32"/>
          <w:szCs w:val="32"/>
          <w:u w:val="none"/>
          <w:lang w:val="en-US" w:eastAsia="zh-CN"/>
        </w:rPr>
        <w:t>招商</w:t>
      </w:r>
      <w:r>
        <w:rPr>
          <w:rFonts w:hint="eastAsia" w:ascii="仿宋_GB2312" w:hAnsi="仿宋_GB2312" w:eastAsia="仿宋_GB2312" w:cs="仿宋_GB2312"/>
          <w:color w:val="auto"/>
          <w:sz w:val="32"/>
          <w:szCs w:val="32"/>
          <w:u w:val="none"/>
        </w:rPr>
        <w:t>活动</w:t>
      </w:r>
      <w:r>
        <w:rPr>
          <w:rFonts w:hint="eastAsia" w:ascii="仿宋_GB2312" w:hAnsi="仿宋_GB2312" w:eastAsia="仿宋_GB2312" w:cs="仿宋_GB2312"/>
          <w:color w:val="auto"/>
          <w:sz w:val="32"/>
          <w:szCs w:val="32"/>
          <w:u w:val="none"/>
          <w:lang w:eastAsia="zh-CN"/>
        </w:rPr>
        <w:t>，</w:t>
      </w:r>
      <w:r>
        <w:rPr>
          <w:rFonts w:hint="default" w:ascii="仿宋_GB2312" w:hAnsi="仿宋_GB2312" w:eastAsia="仿宋_GB2312" w:cs="仿宋_GB2312"/>
          <w:color w:val="auto"/>
          <w:sz w:val="32"/>
          <w:szCs w:val="32"/>
          <w:lang w:eastAsia="zh-CN"/>
        </w:rPr>
        <w:t>力争</w:t>
      </w:r>
      <w:r>
        <w:rPr>
          <w:rFonts w:hint="eastAsia" w:ascii="仿宋_GB2312" w:hAnsi="仿宋_GB2312" w:eastAsia="仿宋_GB2312" w:cs="仿宋_GB2312"/>
          <w:color w:val="auto"/>
          <w:sz w:val="32"/>
          <w:szCs w:val="32"/>
        </w:rPr>
        <w:t>引进一批</w:t>
      </w:r>
      <w:r>
        <w:rPr>
          <w:rFonts w:hint="default" w:ascii="仿宋_GB2312" w:hAnsi="仿宋_GB2312" w:eastAsia="仿宋_GB2312" w:cs="仿宋_GB2312"/>
          <w:color w:val="auto"/>
          <w:sz w:val="32"/>
          <w:szCs w:val="32"/>
        </w:rPr>
        <w:t>延链补链强链的大项目、好项目</w:t>
      </w:r>
      <w:r>
        <w:rPr>
          <w:rFonts w:hint="eastAsia" w:ascii="仿宋_GB2312" w:hAnsi="仿宋_GB2312" w:eastAsia="仿宋_GB2312" w:cs="仿宋_GB2312"/>
          <w:color w:val="auto"/>
          <w:sz w:val="32"/>
          <w:szCs w:val="32"/>
        </w:rPr>
        <w:t>。</w:t>
      </w:r>
      <w:r>
        <w:rPr>
          <w:rFonts w:hint="default" w:ascii="仿宋_GB2312" w:hAnsi="仿宋_GB2312" w:eastAsia="仿宋_GB2312" w:cs="仿宋_GB2312"/>
          <w:color w:val="auto"/>
          <w:sz w:val="32"/>
          <w:szCs w:val="32"/>
          <w:u w:val="none"/>
          <w:lang w:eastAsia="zh-CN"/>
        </w:rPr>
        <w:t>坚持</w:t>
      </w:r>
      <w:r>
        <w:rPr>
          <w:rFonts w:hint="eastAsia" w:ascii="仿宋_GB2312" w:hAnsi="仿宋_GB2312" w:eastAsia="仿宋_GB2312" w:cs="仿宋_GB2312"/>
          <w:color w:val="auto"/>
          <w:sz w:val="32"/>
          <w:szCs w:val="32"/>
          <w:u w:val="none"/>
          <w:lang w:eastAsia="zh-CN"/>
        </w:rPr>
        <w:t>招商项目“136”转化机制，</w:t>
      </w:r>
      <w:r>
        <w:rPr>
          <w:rFonts w:hint="eastAsia" w:ascii="仿宋_GB2312" w:hAnsi="仿宋_GB2312" w:eastAsia="仿宋_GB2312" w:cs="仿宋_GB2312"/>
          <w:color w:val="auto"/>
          <w:sz w:val="32"/>
          <w:szCs w:val="32"/>
          <w:u w:val="none"/>
          <w:lang w:val="en-US" w:eastAsia="zh-CN"/>
        </w:rPr>
        <w:t>依法依规抓好存量项目承诺优惠政策兑现</w:t>
      </w:r>
      <w:r>
        <w:rPr>
          <w:rFonts w:hint="eastAsia" w:ascii="仿宋_GB2312" w:hAnsi="仿宋_GB2312" w:eastAsia="仿宋_GB2312" w:cs="仿宋_GB2312"/>
          <w:color w:val="auto"/>
          <w:sz w:val="32"/>
          <w:szCs w:val="32"/>
          <w:u w:val="none"/>
          <w:lang w:eastAsia="zh-CN"/>
        </w:rPr>
        <w:t>，</w:t>
      </w:r>
      <w:r>
        <w:rPr>
          <w:rFonts w:hint="default" w:ascii="仿宋_GB2312" w:hAnsi="仿宋_GB2312" w:eastAsia="仿宋_GB2312" w:cs="仿宋_GB2312"/>
          <w:color w:val="auto"/>
          <w:sz w:val="32"/>
          <w:szCs w:val="32"/>
          <w:u w:val="none"/>
          <w:lang w:eastAsia="zh-CN"/>
        </w:rPr>
        <w:t>强化</w:t>
      </w:r>
      <w:r>
        <w:rPr>
          <w:rFonts w:hint="eastAsia" w:ascii="仿宋_GB2312" w:hAnsi="仿宋_GB2312" w:eastAsia="仿宋_GB2312" w:cs="仿宋_GB2312"/>
          <w:color w:val="auto"/>
          <w:sz w:val="32"/>
          <w:szCs w:val="32"/>
        </w:rPr>
        <w:t>重大项目洽谈、签约、注册、进资、开工、投产全周期服务，</w:t>
      </w:r>
      <w:r>
        <w:rPr>
          <w:rFonts w:hint="default" w:ascii="仿宋_GB2312" w:hAnsi="仿宋_GB2312" w:eastAsia="仿宋_GB2312" w:cs="仿宋_GB2312"/>
          <w:color w:val="auto"/>
          <w:sz w:val="32"/>
          <w:szCs w:val="32"/>
          <w:lang w:eastAsia="zh-CN"/>
        </w:rPr>
        <w:t>促成</w:t>
      </w:r>
      <w:r>
        <w:rPr>
          <w:rFonts w:hint="eastAsia" w:ascii="仿宋_GB2312" w:hAnsi="仿宋_GB2312" w:eastAsia="仿宋_GB2312" w:cs="仿宋_GB2312"/>
          <w:color w:val="auto"/>
          <w:sz w:val="32"/>
          <w:szCs w:val="32"/>
        </w:rPr>
        <w:t>独立共享储能电站</w:t>
      </w:r>
      <w:r>
        <w:rPr>
          <w:rFonts w:hint="eastAsia" w:ascii="仿宋_GB2312" w:hAnsi="仿宋_GB2312" w:eastAsia="仿宋_GB2312" w:cs="仿宋_GB2312"/>
          <w:color w:val="auto"/>
          <w:sz w:val="32"/>
          <w:szCs w:val="32"/>
          <w:lang w:eastAsia="zh-CN"/>
        </w:rPr>
        <w:t>、</w:t>
      </w:r>
      <w:r>
        <w:rPr>
          <w:rFonts w:hint="default" w:ascii="仿宋_GB2312" w:hAnsi="仿宋_GB2312" w:eastAsia="仿宋_GB2312" w:cs="仿宋_GB2312"/>
          <w:color w:val="auto"/>
          <w:sz w:val="32"/>
          <w:szCs w:val="32"/>
          <w:lang w:eastAsia="zh-CN"/>
        </w:rPr>
        <w:t>铭德顺年产300万支硬质合金精密工具、金石合金年产800吨硬面新材料</w:t>
      </w:r>
      <w:r>
        <w:rPr>
          <w:rFonts w:hint="eastAsia" w:ascii="仿宋_GB2312" w:hAnsi="仿宋_GB2312" w:eastAsia="仿宋_GB2312" w:cs="仿宋_GB2312"/>
          <w:color w:val="auto"/>
          <w:sz w:val="32"/>
          <w:szCs w:val="32"/>
        </w:rPr>
        <w:t>等项目</w:t>
      </w:r>
      <w:r>
        <w:rPr>
          <w:rFonts w:hint="eastAsia" w:ascii="仿宋_GB2312" w:hAnsi="仿宋_GB2312" w:eastAsia="仿宋_GB2312" w:cs="仿宋_GB2312"/>
          <w:color w:val="auto"/>
          <w:sz w:val="32"/>
          <w:szCs w:val="32"/>
          <w:lang w:eastAsia="zh-CN"/>
        </w:rPr>
        <w:t>落地，力争年内引进项目</w:t>
      </w:r>
      <w:r>
        <w:rPr>
          <w:rFonts w:hint="eastAsia" w:ascii="仿宋_GB2312" w:hAnsi="仿宋_GB2312" w:eastAsia="仿宋_GB2312" w:cs="仿宋_GB2312"/>
          <w:color w:val="auto"/>
          <w:sz w:val="32"/>
          <w:szCs w:val="32"/>
          <w:lang w:val="en-US" w:eastAsia="zh-CN"/>
        </w:rPr>
        <w:t>30个以上。</w:t>
      </w:r>
    </w:p>
    <w:p w14:paraId="43548256">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三是全力提速建项目。</w:t>
      </w:r>
      <w:r>
        <w:rPr>
          <w:rFonts w:hint="eastAsia" w:ascii="仿宋_GB2312" w:hAnsi="仿宋_GB2312" w:eastAsia="仿宋_GB2312" w:cs="仿宋_GB2312"/>
          <w:b w:val="0"/>
          <w:bCs w:val="0"/>
          <w:color w:val="auto"/>
          <w:sz w:val="32"/>
          <w:szCs w:val="32"/>
          <w:lang w:val="en-US" w:eastAsia="zh-CN"/>
        </w:rPr>
        <w:t>扎实推进“十百千万”工程，</w:t>
      </w:r>
      <w:r>
        <w:rPr>
          <w:rFonts w:hint="eastAsia" w:ascii="仿宋_GB2312" w:hAnsi="仿宋_GB2312" w:eastAsia="仿宋_GB2312" w:cs="仿宋_GB2312"/>
          <w:color w:val="auto"/>
          <w:sz w:val="32"/>
          <w:szCs w:val="32"/>
          <w:lang w:val="en-US" w:eastAsia="zh-CN"/>
        </w:rPr>
        <w:t>严格落实“148”项目推进机制，强化要素资源整合，着力解决项目推进中的难点与堵点问题</w:t>
      </w:r>
      <w:r>
        <w:rPr>
          <w:rFonts w:hint="eastAsia" w:ascii="仿宋_GB2312" w:hAnsi="仿宋_GB2312" w:eastAsia="仿宋_GB2312" w:cs="仿宋_GB2312"/>
          <w:color w:val="auto"/>
          <w:sz w:val="32"/>
          <w:szCs w:val="32"/>
          <w:highlight w:val="none"/>
          <w:lang w:val="en-US" w:eastAsia="zh-CN"/>
        </w:rPr>
        <w:t>，实施“八大行动”项目200个左右，</w:t>
      </w:r>
      <w:r>
        <w:rPr>
          <w:rFonts w:hint="eastAsia" w:ascii="仿宋_GB2312" w:hAnsi="仿宋_GB2312" w:eastAsia="仿宋_GB2312" w:cs="仿宋_GB2312"/>
          <w:color w:val="auto"/>
          <w:sz w:val="32"/>
          <w:szCs w:val="32"/>
          <w:lang w:val="en-US" w:eastAsia="zh-CN"/>
        </w:rPr>
        <w:t>力争完成年度投资150亿元以上。开工建设</w:t>
      </w:r>
      <w:r>
        <w:rPr>
          <w:rFonts w:hint="default" w:ascii="仿宋_GB2312" w:hAnsi="仿宋_GB2312" w:eastAsia="仿宋_GB2312" w:cs="仿宋_GB2312"/>
          <w:color w:val="auto"/>
          <w:sz w:val="32"/>
          <w:szCs w:val="32"/>
          <w:lang w:eastAsia="zh-CN"/>
        </w:rPr>
        <w:t>宁波锐丰年产3200万</w:t>
      </w:r>
      <w:r>
        <w:rPr>
          <w:rFonts w:hint="eastAsia" w:ascii="仿宋_GB2312" w:hAnsi="仿宋_GB2312" w:eastAsia="仿宋_GB2312" w:cs="仿宋_GB2312"/>
          <w:color w:val="auto"/>
          <w:sz w:val="32"/>
          <w:szCs w:val="32"/>
          <w:lang w:val="en-US" w:eastAsia="zh-CN"/>
        </w:rPr>
        <w:t>平方米</w:t>
      </w:r>
      <w:r>
        <w:rPr>
          <w:rFonts w:hint="default" w:ascii="仿宋_GB2312" w:hAnsi="仿宋_GB2312" w:eastAsia="仿宋_GB2312" w:cs="仿宋_GB2312"/>
          <w:color w:val="auto"/>
          <w:sz w:val="32"/>
          <w:szCs w:val="32"/>
          <w:lang w:eastAsia="zh-CN"/>
        </w:rPr>
        <w:t>新型高分子聚合材料</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eastAsia="zh-CN"/>
        </w:rPr>
        <w:t>海瑞弗5000台精密空调和100台集装箱数据中心及30000台服务器机柜生产基地</w:t>
      </w:r>
      <w:r>
        <w:rPr>
          <w:rFonts w:hint="eastAsia" w:ascii="仿宋_GB2312" w:hAnsi="仿宋_GB2312" w:eastAsia="仿宋_GB2312" w:cs="仿宋_GB2312"/>
          <w:color w:val="auto"/>
          <w:sz w:val="32"/>
          <w:szCs w:val="32"/>
          <w:lang w:val="en-US" w:eastAsia="zh-CN"/>
        </w:rPr>
        <w:t>、污水处理厂设备更新等项目，续建湘南新能源、浮江110千伏输变电工程、工业园区供水等项目，建成洪力智能、恒润新材料等项目，推进农副产品冷链洞库产业园、G220大余县浮江乡车里村至南安镇新华村段升级改造等项目前期工作。</w:t>
      </w:r>
    </w:p>
    <w:p w14:paraId="60AD721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color w:val="auto"/>
          <w:sz w:val="32"/>
          <w:szCs w:val="32"/>
          <w:lang w:val="en-US" w:eastAsia="zh-CN"/>
        </w:rPr>
      </w:pPr>
      <w:r>
        <w:rPr>
          <w:rFonts w:hint="eastAsia" w:ascii="楷体_GB2312" w:hAnsi="楷体_GB2312" w:eastAsia="楷体_GB2312" w:cs="楷体_GB2312"/>
          <w:b/>
          <w:bCs/>
          <w:color w:val="auto"/>
          <w:sz w:val="32"/>
          <w:szCs w:val="32"/>
          <w:lang w:val="en-US" w:eastAsia="zh-CN"/>
        </w:rPr>
        <w:t>（三）狠抓改革创新，推动发展活力更“强”</w:t>
      </w:r>
    </w:p>
    <w:p w14:paraId="7842060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一是持续优化营商环境。</w:t>
      </w:r>
      <w:r>
        <w:rPr>
          <w:rFonts w:hint="eastAsia" w:ascii="仿宋_GB2312" w:hAnsi="仿宋_GB2312" w:eastAsia="仿宋_GB2312" w:cs="仿宋_GB2312"/>
          <w:color w:val="auto"/>
          <w:sz w:val="32"/>
          <w:szCs w:val="32"/>
          <w:lang w:val="en-US" w:eastAsia="zh-CN"/>
        </w:rPr>
        <w:t>坚持“两个毫不动摇”，努力为民营企业打造公平的竞争环境，促进民营经济健康高质量发展。实施新一轮对标粤港澳大湾区优化提升营商环境行动，持续提升营商环境便利度及市场主体满意度，力争跻身全省营商环境第一方阵。</w:t>
      </w:r>
      <w:r>
        <w:rPr>
          <w:rFonts w:hint="eastAsia" w:ascii="仿宋_GB2312" w:hAnsi="仿宋_GB2312" w:eastAsia="仿宋_GB2312" w:cs="仿宋_GB2312"/>
          <w:b w:val="0"/>
          <w:bCs w:val="0"/>
          <w:color w:val="000000"/>
          <w:sz w:val="32"/>
          <w:szCs w:val="32"/>
          <w:lang w:val="en-US" w:eastAsia="zh-CN"/>
        </w:rPr>
        <w:t>继续推进政务服务增值化、“民意速办”“信易+审批”“一表同享”等改革事项，力争</w:t>
      </w:r>
      <w:r>
        <w:rPr>
          <w:rFonts w:hint="eastAsia" w:ascii="仿宋_GB2312" w:hAnsi="仿宋_GB2312" w:eastAsia="仿宋_GB2312" w:cs="仿宋_GB2312"/>
          <w:color w:val="000000"/>
          <w:sz w:val="32"/>
          <w:szCs w:val="32"/>
          <w:lang w:val="en-US" w:eastAsia="zh-CN"/>
        </w:rPr>
        <w:t>上线“高效办成一件事”45件，政务服务事项“全程网办”率达85%、“一次办成”率达95%以上</w:t>
      </w:r>
      <w:r>
        <w:rPr>
          <w:rFonts w:hint="eastAsia" w:ascii="仿宋_GB2312" w:hAnsi="仿宋_GB2312" w:eastAsia="仿宋_GB2312" w:cs="仿宋_GB2312"/>
          <w:color w:val="auto"/>
          <w:sz w:val="32"/>
          <w:szCs w:val="32"/>
          <w:lang w:val="en-US" w:eastAsia="zh-CN"/>
        </w:rPr>
        <w:t>。深入开展新官不理旧账专项整治，健全防范化解拖欠企业账款长效机制，坚决遏制乱罚款、乱检查、乱查封现象。</w:t>
      </w:r>
    </w:p>
    <w:p w14:paraId="418E786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二是实施科技创新赋能。</w:t>
      </w:r>
      <w:r>
        <w:rPr>
          <w:rFonts w:hint="eastAsia" w:ascii="仿宋_GB2312" w:hAnsi="仿宋_GB2312" w:eastAsia="仿宋_GB2312" w:cs="仿宋_GB2312"/>
          <w:color w:val="auto"/>
          <w:sz w:val="32"/>
          <w:szCs w:val="32"/>
          <w:lang w:val="en-US" w:eastAsia="zh-CN"/>
        </w:rPr>
        <w:t>依托中科院对口支援优势，</w:t>
      </w:r>
      <w:r>
        <w:rPr>
          <w:rFonts w:hint="eastAsia" w:ascii="仿宋_GB2312" w:hAnsi="仿宋_GB2312" w:eastAsia="仿宋_GB2312" w:cs="仿宋_GB2312"/>
          <w:b w:val="0"/>
          <w:bCs w:val="0"/>
          <w:color w:val="auto"/>
          <w:sz w:val="32"/>
          <w:szCs w:val="32"/>
          <w:lang w:val="en-US" w:eastAsia="zh-CN"/>
        </w:rPr>
        <w:t>制定出台</w:t>
      </w:r>
      <w:r>
        <w:rPr>
          <w:rFonts w:hint="eastAsia" w:ascii="仿宋_GB2312" w:hAnsi="仿宋_GB2312" w:eastAsia="仿宋_GB2312" w:cs="仿宋_GB2312"/>
          <w:color w:val="auto"/>
          <w:kern w:val="2"/>
          <w:sz w:val="32"/>
          <w:szCs w:val="32"/>
          <w:lang w:val="en-US" w:eastAsia="zh-CN" w:bidi="ar-SA"/>
        </w:rPr>
        <w:t>科技创新赋能行动加快发展新质生产力的若干政策措施，</w:t>
      </w:r>
      <w:r>
        <w:rPr>
          <w:rFonts w:hint="eastAsia" w:ascii="仿宋_GB2312" w:hAnsi="仿宋_GB2312" w:eastAsia="仿宋_GB2312" w:cs="仿宋_GB2312"/>
          <w:color w:val="auto"/>
          <w:sz w:val="32"/>
          <w:szCs w:val="32"/>
          <w:u w:val="none"/>
          <w:lang w:val="en-US" w:eastAsia="zh-CN"/>
        </w:rPr>
        <w:t>支持引导企业持续加大研发投入，</w:t>
      </w:r>
      <w:r>
        <w:rPr>
          <w:rFonts w:hint="eastAsia" w:ascii="仿宋_GB2312" w:hAnsi="仿宋_GB2312" w:eastAsia="仿宋_GB2312" w:cs="仿宋_GB2312"/>
          <w:color w:val="auto"/>
          <w:sz w:val="32"/>
          <w:szCs w:val="32"/>
          <w:lang w:val="en-US" w:eastAsia="zh-CN"/>
        </w:rPr>
        <w:t>着力培育一批成长性企业，力争2025年</w:t>
      </w:r>
      <w:r>
        <w:rPr>
          <w:rFonts w:hint="eastAsia" w:ascii="仿宋_GB2312" w:hAnsi="仿宋_GB2312" w:eastAsia="仿宋_GB2312" w:cs="仿宋_GB2312"/>
          <w:color w:val="auto"/>
          <w:sz w:val="32"/>
          <w:szCs w:val="32"/>
          <w:u w:val="none"/>
          <w:lang w:val="en-US" w:eastAsia="zh-CN"/>
        </w:rPr>
        <w:t>全社会研发投入规模再创新高，</w:t>
      </w:r>
      <w:r>
        <w:rPr>
          <w:rFonts w:hint="eastAsia" w:ascii="仿宋_GB2312" w:hAnsi="仿宋_GB2312" w:eastAsia="仿宋_GB2312" w:cs="仿宋_GB2312"/>
          <w:color w:val="auto"/>
          <w:sz w:val="32"/>
          <w:szCs w:val="32"/>
          <w:lang w:val="en-US" w:eastAsia="zh-CN"/>
        </w:rPr>
        <w:t>认定高新技术企业10家，梯度培育创新型中小企业15家、专精特新中小企业10家。</w:t>
      </w:r>
      <w:r>
        <w:rPr>
          <w:rFonts w:hint="eastAsia" w:ascii="仿宋_GB2312" w:hAnsi="仿宋_GB2312" w:eastAsia="仿宋_GB2312" w:cs="仿宋_GB2312"/>
          <w:b w:val="0"/>
          <w:bCs w:val="0"/>
          <w:color w:val="000000"/>
          <w:kern w:val="2"/>
          <w:sz w:val="32"/>
          <w:szCs w:val="32"/>
          <w:u w:val="none"/>
          <w:lang w:val="en-US" w:eastAsia="zh-CN" w:bidi="ar-SA"/>
        </w:rPr>
        <w:t>推动赣州市钨产业技术研究院申报省级新型研发机构、新能源新材料中试基地申报市级中试基地</w:t>
      </w:r>
      <w:r>
        <w:rPr>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b w:val="0"/>
          <w:bCs w:val="0"/>
          <w:color w:val="000000"/>
          <w:kern w:val="2"/>
          <w:sz w:val="32"/>
          <w:szCs w:val="32"/>
          <w:u w:val="none"/>
          <w:lang w:val="en-US" w:eastAsia="zh-CN" w:bidi="ar-SA"/>
        </w:rPr>
        <w:t>鼓励悦安新材、盛源新材等企业申报省级创新平台，探索建立新材料技术研究院</w:t>
      </w:r>
      <w:r>
        <w:rPr>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000000"/>
          <w:sz w:val="32"/>
          <w:szCs w:val="32"/>
          <w:lang w:val="en-US" w:eastAsia="zh-CN"/>
        </w:rPr>
        <w:t>一体推进人才“引育用留”全链条升级，力争全年引进培养高层次人才和领军团队30个、产业急需紧缺人才400人</w:t>
      </w:r>
      <w:r>
        <w:rPr>
          <w:rFonts w:hint="eastAsia" w:ascii="仿宋_GB2312" w:hAnsi="仿宋_GB2312" w:eastAsia="仿宋_GB2312" w:cs="仿宋_GB2312"/>
          <w:color w:val="auto"/>
          <w:kern w:val="2"/>
          <w:sz w:val="32"/>
          <w:szCs w:val="32"/>
          <w:lang w:val="en-US" w:eastAsia="zh-CN" w:bidi="ar-SA"/>
        </w:rPr>
        <w:t>。</w:t>
      </w:r>
    </w:p>
    <w:p w14:paraId="012E2D2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三是深化区域交流合作。</w:t>
      </w:r>
      <w:r>
        <w:rPr>
          <w:rFonts w:hint="eastAsia" w:ascii="仿宋_GB2312" w:hAnsi="仿宋_GB2312" w:eastAsia="仿宋_GB2312" w:cs="仿宋_GB2312"/>
          <w:b w:val="0"/>
          <w:bCs w:val="0"/>
          <w:color w:val="auto"/>
          <w:sz w:val="32"/>
          <w:szCs w:val="32"/>
          <w:lang w:val="en-US" w:eastAsia="zh-CN"/>
        </w:rPr>
        <w:t>推动深赣对口合作走深走实，努力</w:t>
      </w:r>
      <w:r>
        <w:rPr>
          <w:rFonts w:hint="eastAsia" w:ascii="仿宋_GB2312" w:hAnsi="仿宋_GB2312" w:eastAsia="仿宋_GB2312" w:cs="仿宋_GB2312"/>
          <w:color w:val="auto"/>
          <w:sz w:val="32"/>
          <w:szCs w:val="32"/>
          <w:lang w:val="en-US" w:eastAsia="zh-CN"/>
        </w:rPr>
        <w:t>在推进产品互采互用、相互引客引流、产业共建配套、干部人才合作、共享发展资源等领域形成一批合作事项，探索</w:t>
      </w:r>
      <w:r>
        <w:rPr>
          <w:rFonts w:hint="eastAsia" w:ascii="仿宋_GB2312" w:hAnsi="仿宋_GB2312" w:eastAsia="仿宋_GB2312" w:cs="仿宋_GB2312"/>
          <w:color w:val="auto"/>
          <w:sz w:val="32"/>
          <w:szCs w:val="32"/>
          <w:u w:val="none"/>
          <w:lang w:val="en-US" w:eastAsia="zh-CN"/>
        </w:rPr>
        <w:t>“大鹏研发、大余生产”协同发展模式，</w:t>
      </w:r>
      <w:r>
        <w:rPr>
          <w:rFonts w:hint="eastAsia" w:ascii="仿宋_GB2312" w:hAnsi="仿宋_GB2312" w:eastAsia="仿宋_GB2312" w:cs="仿宋_GB2312"/>
          <w:b w:val="0"/>
          <w:bCs w:val="0"/>
          <w:color w:val="auto"/>
          <w:kern w:val="2"/>
          <w:sz w:val="32"/>
          <w:szCs w:val="32"/>
          <w:lang w:val="en-US" w:eastAsia="zh-CN" w:bidi="ar-SA"/>
        </w:rPr>
        <w:t>与深圳大鹏新区、广东韶关等地建立文旅资源共享、客源互送机制，</w:t>
      </w:r>
      <w:r>
        <w:rPr>
          <w:rFonts w:hint="eastAsia" w:ascii="仿宋_GB2312" w:hAnsi="仿宋_GB2312" w:eastAsia="仿宋_GB2312" w:cs="仿宋_GB2312"/>
          <w:color w:val="auto"/>
          <w:sz w:val="32"/>
          <w:szCs w:val="32"/>
          <w:lang w:val="en-US" w:eastAsia="zh-CN"/>
        </w:rPr>
        <w:t>持续打造对接融入粤港澳大湾区桥头堡先行区。</w:t>
      </w:r>
      <w:r>
        <w:rPr>
          <w:rFonts w:hint="eastAsia" w:ascii="仿宋_GB2312" w:hAnsi="仿宋_GB2312" w:eastAsia="仿宋_GB2312" w:cs="仿宋_GB2312"/>
          <w:b w:val="0"/>
          <w:bCs w:val="0"/>
          <w:color w:val="auto"/>
          <w:kern w:val="2"/>
          <w:sz w:val="32"/>
          <w:szCs w:val="32"/>
          <w:lang w:val="en-US" w:eastAsia="zh-CN" w:bidi="ar-SA"/>
        </w:rPr>
        <w:t>提升区域互联互通水平，</w:t>
      </w:r>
      <w:r>
        <w:rPr>
          <w:rFonts w:hint="eastAsia" w:ascii="仿宋_GB2312" w:hAnsi="仿宋_GB2312" w:eastAsia="仿宋_GB2312" w:cs="仿宋_GB2312"/>
          <w:color w:val="auto"/>
          <w:sz w:val="32"/>
          <w:szCs w:val="32"/>
          <w:lang w:val="en-US" w:eastAsia="zh-CN"/>
        </w:rPr>
        <w:t>建成遂大高速（大余段），加快建设S316大余铜锣湾至池江段公路改建工程（二期）、S316大余新城至白枧坳公路改建工程（二期），</w:t>
      </w:r>
      <w:r>
        <w:rPr>
          <w:rFonts w:hint="eastAsia" w:ascii="仿宋_GB2312" w:hAnsi="仿宋_GB2312" w:eastAsia="仿宋_GB2312" w:cs="仿宋_GB2312"/>
          <w:b w:val="0"/>
          <w:bCs w:val="0"/>
          <w:color w:val="auto"/>
          <w:kern w:val="2"/>
          <w:sz w:val="32"/>
          <w:szCs w:val="32"/>
          <w:lang w:val="en-US" w:eastAsia="zh-CN" w:bidi="ar-SA"/>
        </w:rPr>
        <w:t>启动实施</w:t>
      </w:r>
      <w:r>
        <w:rPr>
          <w:rFonts w:hint="eastAsia" w:ascii="仿宋_GB2312" w:hAnsi="仿宋_GB2312" w:eastAsia="仿宋_GB2312" w:cs="仿宋_GB2312"/>
          <w:color w:val="auto"/>
          <w:sz w:val="32"/>
          <w:szCs w:val="32"/>
          <w:lang w:val="en-US" w:eastAsia="zh-CN"/>
        </w:rPr>
        <w:t>赣粤边大余智能物流产业园项目，建成生鲜农产品冷链物流链供应点。</w:t>
      </w:r>
    </w:p>
    <w:p w14:paraId="22BC1FB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color w:val="auto"/>
          <w:sz w:val="32"/>
          <w:szCs w:val="32"/>
          <w:lang w:val="en-US" w:eastAsia="zh-CN"/>
        </w:rPr>
      </w:pPr>
      <w:r>
        <w:rPr>
          <w:rFonts w:hint="eastAsia" w:ascii="楷体_GB2312" w:hAnsi="楷体_GB2312" w:eastAsia="楷体_GB2312" w:cs="楷体_GB2312"/>
          <w:b/>
          <w:bCs/>
          <w:color w:val="auto"/>
          <w:sz w:val="32"/>
          <w:szCs w:val="32"/>
          <w:lang w:val="en-US" w:eastAsia="zh-CN"/>
        </w:rPr>
        <w:t>（四）狠抓城乡提质，推动发展空间更“宽”</w:t>
      </w:r>
    </w:p>
    <w:p w14:paraId="32A0154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一是提升城市能级。</w:t>
      </w:r>
      <w:r>
        <w:rPr>
          <w:rFonts w:hint="eastAsia" w:ascii="仿宋_GB2312" w:hAnsi="仿宋_GB2312" w:eastAsia="仿宋_GB2312" w:cs="仿宋_GB2312"/>
          <w:b w:val="0"/>
          <w:bCs w:val="0"/>
          <w:color w:val="auto"/>
          <w:sz w:val="32"/>
          <w:szCs w:val="32"/>
          <w:lang w:val="en-US" w:eastAsia="zh-CN"/>
        </w:rPr>
        <w:t>全面实施国土空间总体规划，</w:t>
      </w:r>
      <w:r>
        <w:rPr>
          <w:rFonts w:hint="eastAsia" w:ascii="仿宋_GB2312" w:hAnsi="仿宋_GB2312" w:eastAsia="仿宋_GB2312" w:cs="仿宋_GB2312"/>
          <w:color w:val="auto"/>
          <w:kern w:val="2"/>
          <w:sz w:val="32"/>
          <w:szCs w:val="32"/>
          <w:lang w:val="en-US" w:eastAsia="zh-CN"/>
        </w:rPr>
        <w:t>持续</w:t>
      </w:r>
      <w:r>
        <w:rPr>
          <w:rFonts w:hint="eastAsia" w:ascii="仿宋_GB2312" w:hAnsi="仿宋_GB2312" w:eastAsia="仿宋_GB2312" w:cs="仿宋_GB2312"/>
          <w:color w:val="auto"/>
          <w:kern w:val="2"/>
          <w:sz w:val="32"/>
          <w:szCs w:val="32"/>
        </w:rPr>
        <w:t>巩固</w:t>
      </w:r>
      <w:r>
        <w:rPr>
          <w:rFonts w:hint="eastAsia" w:ascii="仿宋_GB2312" w:hAnsi="仿宋_GB2312" w:eastAsia="仿宋_GB2312" w:cs="仿宋_GB2312"/>
          <w:color w:val="auto"/>
          <w:kern w:val="2"/>
          <w:sz w:val="32"/>
          <w:szCs w:val="32"/>
          <w:lang w:val="en-US" w:eastAsia="zh-CN"/>
        </w:rPr>
        <w:t>全国文明城市、国家卫生县城</w:t>
      </w:r>
      <w:r>
        <w:rPr>
          <w:rFonts w:hint="eastAsia" w:ascii="仿宋_GB2312" w:hAnsi="仿宋_GB2312" w:eastAsia="仿宋_GB2312" w:cs="仿宋_GB2312"/>
          <w:color w:val="auto"/>
          <w:kern w:val="2"/>
          <w:sz w:val="32"/>
          <w:szCs w:val="32"/>
        </w:rPr>
        <w:t>创建成果，</w:t>
      </w:r>
      <w:r>
        <w:rPr>
          <w:rFonts w:hint="eastAsia" w:ascii="仿宋_GB2312" w:hAnsi="仿宋_GB2312" w:eastAsia="仿宋_GB2312" w:cs="仿宋_GB2312"/>
          <w:color w:val="auto"/>
          <w:kern w:val="2"/>
          <w:sz w:val="32"/>
          <w:szCs w:val="32"/>
          <w:lang w:val="en-US" w:eastAsia="zh-CN"/>
        </w:rPr>
        <w:t>积极争创</w:t>
      </w:r>
      <w:r>
        <w:rPr>
          <w:rFonts w:hint="eastAsia" w:ascii="仿宋_GB2312" w:hAnsi="仿宋_GB2312" w:eastAsia="仿宋_GB2312" w:cs="仿宋_GB2312"/>
          <w:color w:val="auto"/>
          <w:kern w:val="2"/>
          <w:sz w:val="32"/>
          <w:szCs w:val="32"/>
        </w:rPr>
        <w:t>全国园林城市。</w:t>
      </w:r>
      <w:r>
        <w:rPr>
          <w:rFonts w:hint="eastAsia" w:ascii="仿宋_GB2312" w:hAnsi="仿宋_GB2312" w:eastAsia="仿宋_GB2312" w:cs="仿宋_GB2312"/>
          <w:color w:val="auto"/>
          <w:kern w:val="2"/>
          <w:sz w:val="32"/>
          <w:szCs w:val="32"/>
          <w:lang w:eastAsia="zh-CN"/>
        </w:rPr>
        <w:t>有针对性开展城市更新行动，持续推动市政公用设施提档升级、公共服务设施提质扩面。启动实施厂网河湖一体化、</w:t>
      </w:r>
      <w:r>
        <w:rPr>
          <w:rFonts w:hint="eastAsia" w:ascii="仿宋_GB2312" w:hAnsi="Calibri" w:eastAsia="仿宋_GB2312" w:cs="仿宋_GB2312"/>
          <w:color w:val="auto"/>
          <w:kern w:val="2"/>
          <w:sz w:val="32"/>
          <w:szCs w:val="32"/>
          <w:lang w:val="en-US" w:eastAsia="zh-CN" w:bidi="ar"/>
        </w:rPr>
        <w:t>环卫设施提升改造、新</w:t>
      </w:r>
      <w:r>
        <w:rPr>
          <w:rFonts w:hint="eastAsia" w:ascii="仿宋_GB2312" w:hAnsi="仿宋_GB2312" w:eastAsia="仿宋_GB2312" w:cs="仿宋_GB2312"/>
          <w:color w:val="auto"/>
          <w:kern w:val="2"/>
          <w:sz w:val="32"/>
          <w:szCs w:val="32"/>
          <w:lang w:eastAsia="zh-CN"/>
        </w:rPr>
        <w:t>能源汽车公共超充站</w:t>
      </w:r>
      <w:r>
        <w:rPr>
          <w:rFonts w:hint="eastAsia" w:ascii="仿宋_GB2312" w:hAnsi="Calibri" w:eastAsia="仿宋_GB2312" w:cs="仿宋_GB2312"/>
          <w:color w:val="auto"/>
          <w:kern w:val="2"/>
          <w:sz w:val="32"/>
          <w:szCs w:val="32"/>
          <w:lang w:val="en-US" w:eastAsia="zh-CN" w:bidi="ar"/>
        </w:rPr>
        <w:t>等项目</w:t>
      </w:r>
      <w:r>
        <w:rPr>
          <w:rFonts w:hint="eastAsia" w:ascii="仿宋_GB2312" w:hAnsi="仿宋_GB2312" w:eastAsia="仿宋_GB2312" w:cs="仿宋_GB2312"/>
          <w:color w:val="auto"/>
          <w:kern w:val="2"/>
          <w:sz w:val="32"/>
          <w:szCs w:val="32"/>
          <w:lang w:eastAsia="zh-CN"/>
        </w:rPr>
        <w:t>，</w:t>
      </w:r>
      <w:r>
        <w:rPr>
          <w:rFonts w:hint="eastAsia" w:ascii="仿宋_GB2312" w:hAnsi="仿宋_GB2312" w:eastAsia="仿宋_GB2312" w:cs="仿宋_GB2312"/>
          <w:b w:val="0"/>
          <w:bCs w:val="0"/>
          <w:color w:val="auto"/>
          <w:sz w:val="32"/>
          <w:szCs w:val="32"/>
          <w:lang w:val="en-US" w:eastAsia="zh-CN"/>
        </w:rPr>
        <w:t>加快建成</w:t>
      </w:r>
      <w:r>
        <w:rPr>
          <w:rFonts w:hint="eastAsia" w:ascii="仿宋_GB2312" w:hAnsi="仿宋_GB2312" w:eastAsia="仿宋_GB2312" w:cs="仿宋_GB2312"/>
          <w:color w:val="auto"/>
          <w:sz w:val="32"/>
          <w:szCs w:val="32"/>
          <w:highlight w:val="none"/>
          <w:u w:val="none" w:color="auto"/>
          <w:lang w:val="en-US" w:eastAsia="zh-CN"/>
        </w:rPr>
        <w:t>城市应急备用水源地（玉里水库）</w:t>
      </w:r>
      <w:r>
        <w:rPr>
          <w:rFonts w:hint="eastAsia" w:ascii="仿宋_GB2312" w:hAnsi="仿宋_GB2312" w:eastAsia="仿宋_GB2312" w:cs="仿宋_GB2312"/>
          <w:color w:val="auto"/>
          <w:sz w:val="32"/>
          <w:szCs w:val="32"/>
          <w:lang w:val="en-US" w:eastAsia="zh-CN"/>
        </w:rPr>
        <w:t>、</w:t>
      </w:r>
      <w:r>
        <w:rPr>
          <w:rFonts w:hint="default" w:ascii="仿宋_GB2312" w:hAnsi="Calibri" w:eastAsia="仿宋_GB2312" w:cs="仿宋_GB2312"/>
          <w:color w:val="auto"/>
          <w:kern w:val="2"/>
          <w:sz w:val="32"/>
          <w:szCs w:val="32"/>
          <w:lang w:val="en-US" w:eastAsia="zh-CN" w:bidi="ar"/>
        </w:rPr>
        <w:t>城区排水防涝设施建设项目</w:t>
      </w:r>
      <w:r>
        <w:rPr>
          <w:rFonts w:hint="eastAsia" w:ascii="仿宋_GB2312" w:hAnsi="Calibri" w:eastAsia="仿宋_GB2312" w:cs="仿宋_GB2312"/>
          <w:color w:val="auto"/>
          <w:kern w:val="2"/>
          <w:sz w:val="32"/>
          <w:szCs w:val="32"/>
          <w:lang w:val="en-US" w:eastAsia="zh-CN" w:bidi="ar"/>
        </w:rPr>
        <w:t>排水系统在线监控平台等项目</w:t>
      </w:r>
      <w:r>
        <w:rPr>
          <w:rFonts w:hint="eastAsia" w:ascii="仿宋_GB2312" w:hAnsi="仿宋_GB2312" w:eastAsia="仿宋_GB2312" w:cs="仿宋_GB2312"/>
          <w:b w:val="0"/>
          <w:bCs w:val="0"/>
          <w:color w:val="auto"/>
          <w:sz w:val="32"/>
          <w:szCs w:val="32"/>
          <w:lang w:val="en-US" w:eastAsia="zh-CN"/>
        </w:rPr>
        <w:t>，</w:t>
      </w:r>
      <w:r>
        <w:rPr>
          <w:rFonts w:hint="eastAsia" w:ascii="仿宋_GB2312" w:hAnsi="仿宋_GB2312" w:eastAsia="仿宋_GB2312" w:cs="仿宋_GB2312"/>
          <w:color w:val="auto"/>
          <w:sz w:val="32"/>
          <w:szCs w:val="32"/>
          <w:lang w:val="en-US" w:eastAsia="zh-CN"/>
        </w:rPr>
        <w:t>更新改造燃气管网40公里、新改建污水管网30公里以上，城市生活污水集中收集处理率提高至55%。</w:t>
      </w:r>
      <w:r>
        <w:rPr>
          <w:rFonts w:hint="eastAsia" w:ascii="仿宋_GB2312" w:hAnsi="仿宋_GB2312" w:eastAsia="仿宋_GB2312" w:cs="仿宋_GB2312"/>
          <w:b w:val="0"/>
          <w:bCs w:val="0"/>
          <w:color w:val="auto"/>
          <w:sz w:val="32"/>
          <w:szCs w:val="32"/>
          <w:lang w:val="en-US" w:eastAsia="zh-CN"/>
        </w:rPr>
        <w:t>落实好省“20”条、市“16”条、县“18”条政策措施，促进房地产市场平稳健康发展。</w:t>
      </w:r>
    </w:p>
    <w:p w14:paraId="05EB747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Times New Roman" w:eastAsia="仿宋_GB2312" w:cs="Times New Roman"/>
          <w:color w:val="auto"/>
          <w:sz w:val="32"/>
          <w:szCs w:val="32"/>
          <w:lang w:val="en-US" w:eastAsia="zh-CN"/>
        </w:rPr>
      </w:pPr>
      <w:r>
        <w:rPr>
          <w:rFonts w:hint="eastAsia" w:ascii="仿宋_GB2312" w:hAnsi="仿宋_GB2312" w:eastAsia="仿宋_GB2312" w:cs="仿宋_GB2312"/>
          <w:b/>
          <w:bCs/>
          <w:color w:val="auto"/>
          <w:sz w:val="32"/>
          <w:szCs w:val="32"/>
          <w:lang w:val="en-US" w:eastAsia="zh-CN"/>
        </w:rPr>
        <w:t>二是共建美丽乡村。</w:t>
      </w:r>
      <w:r>
        <w:rPr>
          <w:rFonts w:hint="eastAsia" w:ascii="仿宋_GB2312" w:hAnsi="Calibri" w:eastAsia="仿宋_GB2312" w:cs="仿宋_GB2312"/>
          <w:color w:val="auto"/>
          <w:sz w:val="32"/>
          <w:szCs w:val="32"/>
          <w:lang w:val="en-US" w:eastAsia="zh-CN" w:bidi="ar"/>
        </w:rPr>
        <w:t>加紧推进实用性村庄规划编制，</w:t>
      </w:r>
      <w:r>
        <w:rPr>
          <w:rFonts w:hint="eastAsia" w:ascii="仿宋_GB2312" w:hAnsi="Calibri" w:eastAsia="仿宋_GB2312" w:cs="仿宋_GB2312"/>
          <w:b w:val="0"/>
          <w:bCs w:val="0"/>
          <w:color w:val="auto"/>
          <w:sz w:val="32"/>
          <w:szCs w:val="32"/>
          <w:lang w:val="en-US" w:eastAsia="zh-CN" w:bidi="ar"/>
        </w:rPr>
        <w:t>学习运用“千万工程”经验，加快建设</w:t>
      </w:r>
      <w:r>
        <w:rPr>
          <w:rFonts w:hint="eastAsia" w:ascii="仿宋_GB2312" w:hAnsi="Calibri" w:eastAsia="仿宋_GB2312" w:cs="仿宋_GB2312"/>
          <w:color w:val="auto"/>
          <w:sz w:val="32"/>
          <w:szCs w:val="32"/>
          <w:vertAlign w:val="baseline"/>
          <w:lang w:val="en-US" w:eastAsia="zh-CN" w:bidi="ar"/>
        </w:rPr>
        <w:t>“四融一共”和美乡村先行县，</w:t>
      </w:r>
      <w:r>
        <w:rPr>
          <w:rFonts w:hint="eastAsia" w:ascii="仿宋_GB2312" w:hAnsi="仿宋_GB2312" w:eastAsia="仿宋_GB2312" w:cs="仿宋_GB2312"/>
          <w:color w:val="auto"/>
          <w:sz w:val="32"/>
          <w:szCs w:val="32"/>
          <w:vertAlign w:val="baseline"/>
          <w:lang w:val="en-US" w:eastAsia="zh-CN"/>
        </w:rPr>
        <w:t>打造“秀美双龙、宜居龙安、窗韵城南”3条示范带</w:t>
      </w:r>
      <w:r>
        <w:rPr>
          <w:rFonts w:hint="eastAsia" w:ascii="仿宋_GB2312" w:hAnsi="仿宋_GB2312" w:eastAsia="仿宋_GB2312" w:cs="仿宋_GB2312"/>
          <w:color w:val="000000"/>
          <w:sz w:val="32"/>
          <w:szCs w:val="32"/>
          <w:lang w:val="en-US" w:eastAsia="zh-CN"/>
        </w:rPr>
        <w:t>和“新樟池现代特色农业产业”示范区</w:t>
      </w:r>
      <w:r>
        <w:rPr>
          <w:rFonts w:hint="eastAsia" w:ascii="仿宋_GB2312" w:hAnsi="仿宋_GB2312" w:eastAsia="仿宋_GB2312" w:cs="仿宋_GB2312"/>
          <w:color w:val="auto"/>
          <w:sz w:val="32"/>
          <w:szCs w:val="32"/>
          <w:vertAlign w:val="baseline"/>
          <w:lang w:val="en-US" w:eastAsia="zh-CN"/>
        </w:rPr>
        <w:t>，创建美丽宜居乡镇1个、美丽宜居村庄10个、美丽庭院1000个以上。完成农村人居环境整治提升五年行动、“四好农村路”高质量发展三年行动任务，启动实施赣州乡村振兴环境综合治理项目（大余县子项目）、农</w:t>
      </w:r>
      <w:r>
        <w:rPr>
          <w:rFonts w:hint="eastAsia" w:ascii="仿宋_GB2312" w:hAnsi="仿宋_GB2312" w:eastAsia="仿宋_GB2312" w:cs="仿宋_GB2312"/>
          <w:color w:val="auto"/>
          <w:sz w:val="32"/>
          <w:szCs w:val="32"/>
          <w:lang w:val="en-US" w:eastAsia="zh-CN"/>
        </w:rPr>
        <w:t>村路网及配套基础设施提升改造一期项目，</w:t>
      </w:r>
      <w:r>
        <w:rPr>
          <w:rFonts w:hint="eastAsia" w:ascii="仿宋_GB2312" w:hAnsi="仿宋_GB2312" w:eastAsia="仿宋_GB2312" w:cs="仿宋_GB2312"/>
          <w:color w:val="auto"/>
          <w:sz w:val="32"/>
          <w:szCs w:val="32"/>
          <w:highlight w:val="none"/>
          <w:u w:val="none" w:color="auto"/>
          <w:lang w:val="en-US" w:eastAsia="zh-CN"/>
        </w:rPr>
        <w:t>新（改）建农村公路35公里、农村危桥7座。</w:t>
      </w:r>
      <w:r>
        <w:rPr>
          <w:rFonts w:hint="eastAsia" w:ascii="仿宋_GB2312" w:hAnsi="仿宋_GB2312" w:eastAsia="仿宋_GB2312" w:cs="仿宋_GB2312"/>
          <w:color w:val="auto"/>
          <w:sz w:val="32"/>
          <w:szCs w:val="32"/>
          <w:lang w:val="en-US" w:eastAsia="zh-CN"/>
        </w:rPr>
        <w:t>加快城乡供水项目进程，提升农村自来水普及率和农村规模化供水工程覆盖农村人口比例。加快实施丫山运动休闲小镇越野谷基础设施建设项目，推进特色小镇规范健康发展。深入实施文明乡风建设工程，持续推进移风易俗改革。</w:t>
      </w:r>
    </w:p>
    <w:p w14:paraId="0F168E5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color w:val="auto"/>
          <w:sz w:val="32"/>
          <w:szCs w:val="32"/>
          <w:lang w:val="en-US" w:eastAsia="zh-CN"/>
        </w:rPr>
        <w:t>三是巩固生态环境质量。</w:t>
      </w:r>
      <w:r>
        <w:rPr>
          <w:rFonts w:hint="eastAsia" w:ascii="仿宋_GB2312" w:hAnsi="仿宋_GB2312" w:eastAsia="仿宋_GB2312" w:cs="仿宋_GB2312"/>
          <w:color w:val="auto"/>
          <w:sz w:val="32"/>
          <w:szCs w:val="32"/>
          <w:lang w:val="en-US" w:eastAsia="zh-CN"/>
        </w:rPr>
        <w:t>全面完成第三轮第二批中央环保督察信访件整改，举一反三抓好生态环境领域信访工作。</w:t>
      </w:r>
      <w:r>
        <w:rPr>
          <w:rFonts w:hint="eastAsia" w:ascii="仿宋_GB2312" w:hAnsi="仿宋_GB2312" w:eastAsia="仿宋_GB2312" w:cs="仿宋_GB2312"/>
          <w:color w:val="auto"/>
          <w:kern w:val="2"/>
          <w:sz w:val="32"/>
          <w:szCs w:val="32"/>
          <w:lang w:val="en-US" w:eastAsia="zh-CN" w:bidi="ar-SA"/>
        </w:rPr>
        <w:t>加强PM</w:t>
      </w:r>
      <w:r>
        <w:rPr>
          <w:rFonts w:hint="eastAsia" w:ascii="仿宋_GB2312" w:hAnsi="仿宋_GB2312" w:eastAsia="仿宋_GB2312" w:cs="仿宋_GB2312"/>
          <w:color w:val="auto"/>
          <w:kern w:val="2"/>
          <w:sz w:val="32"/>
          <w:szCs w:val="32"/>
          <w:vertAlign w:val="subscript"/>
          <w:lang w:val="en-US" w:eastAsia="zh-CN" w:bidi="ar-SA"/>
        </w:rPr>
        <w:t>2.5</w:t>
      </w:r>
      <w:r>
        <w:rPr>
          <w:rFonts w:hint="eastAsia" w:ascii="仿宋_GB2312" w:hAnsi="仿宋_GB2312" w:eastAsia="仿宋_GB2312" w:cs="仿宋_GB2312"/>
          <w:color w:val="auto"/>
          <w:kern w:val="2"/>
          <w:sz w:val="32"/>
          <w:szCs w:val="32"/>
          <w:lang w:val="en-US" w:eastAsia="zh-CN" w:bidi="ar-SA"/>
        </w:rPr>
        <w:t>和臭氧污染协同整治，做好扬尘、餐饮油烟污染防控，力争PM</w:t>
      </w:r>
      <w:r>
        <w:rPr>
          <w:rFonts w:hint="eastAsia" w:ascii="仿宋_GB2312" w:hAnsi="仿宋_GB2312" w:eastAsia="仿宋_GB2312" w:cs="仿宋_GB2312"/>
          <w:color w:val="auto"/>
          <w:kern w:val="2"/>
          <w:sz w:val="32"/>
          <w:szCs w:val="32"/>
          <w:vertAlign w:val="subscript"/>
          <w:lang w:val="en-US" w:eastAsia="zh-CN" w:bidi="ar-SA"/>
        </w:rPr>
        <w:t>2.5</w:t>
      </w:r>
      <w:r>
        <w:rPr>
          <w:rFonts w:hint="eastAsia" w:ascii="仿宋_GB2312" w:hAnsi="仿宋_GB2312" w:eastAsia="仿宋_GB2312" w:cs="仿宋_GB2312"/>
          <w:color w:val="auto"/>
          <w:kern w:val="2"/>
          <w:sz w:val="32"/>
          <w:szCs w:val="32"/>
          <w:lang w:val="en-US" w:eastAsia="zh-CN" w:bidi="ar-SA"/>
        </w:rPr>
        <w:t>平均浓度持续下降，空气质量优良天数和优良率稳步提升。</w:t>
      </w:r>
      <w:r>
        <w:rPr>
          <w:rFonts w:hint="eastAsia" w:ascii="仿宋_GB2312" w:hAnsi="仿宋_GB2312" w:eastAsia="仿宋_GB2312" w:cs="仿宋_GB2312"/>
          <w:color w:val="auto"/>
          <w:kern w:val="2"/>
          <w:sz w:val="32"/>
          <w:szCs w:val="32"/>
          <w:lang w:eastAsia="zh-CN"/>
        </w:rPr>
        <w:t>推进河湖“清四乱”行动，</w:t>
      </w:r>
      <w:r>
        <w:rPr>
          <w:rFonts w:hint="default" w:ascii="宋体" w:hAnsi="宋体" w:eastAsia="仿宋_GB2312" w:cs="仿宋_GB2312"/>
          <w:b w:val="0"/>
          <w:bCs w:val="0"/>
          <w:color w:val="auto"/>
          <w:kern w:val="2"/>
          <w:sz w:val="32"/>
          <w:szCs w:val="40"/>
          <w:lang w:val="en-US" w:eastAsia="zh-CN" w:bidi="ar-SA"/>
        </w:rPr>
        <w:t>开展入河排污口溯源整治，</w:t>
      </w:r>
      <w:r>
        <w:rPr>
          <w:rFonts w:hint="eastAsia" w:ascii="宋体" w:hAnsi="宋体" w:eastAsia="仿宋_GB2312" w:cs="仿宋_GB2312"/>
          <w:b w:val="0"/>
          <w:bCs w:val="0"/>
          <w:color w:val="auto"/>
          <w:kern w:val="2"/>
          <w:sz w:val="32"/>
          <w:szCs w:val="40"/>
          <w:lang w:val="en-US" w:eastAsia="zh-CN" w:bidi="ar-SA"/>
        </w:rPr>
        <w:t>确保</w:t>
      </w:r>
      <w:r>
        <w:rPr>
          <w:rFonts w:hint="default" w:ascii="Times New Roman" w:hAnsi="Times New Roman" w:eastAsia="仿宋_GB2312" w:cs="Times New Roman"/>
          <w:color w:val="auto"/>
          <w:sz w:val="32"/>
          <w:szCs w:val="40"/>
          <w:highlight w:val="none"/>
          <w:lang w:val="en-US" w:eastAsia="zh-CN"/>
        </w:rPr>
        <w:t>河流断面水质综合指数</w:t>
      </w:r>
      <w:r>
        <w:rPr>
          <w:rFonts w:hint="eastAsia" w:ascii="Times New Roman" w:hAnsi="Times New Roman" w:eastAsia="仿宋_GB2312" w:cs="Times New Roman"/>
          <w:color w:val="auto"/>
          <w:sz w:val="32"/>
          <w:szCs w:val="40"/>
          <w:highlight w:val="none"/>
          <w:lang w:val="en-US" w:eastAsia="zh-CN"/>
        </w:rPr>
        <w:t>持续改善</w:t>
      </w:r>
      <w:r>
        <w:rPr>
          <w:rFonts w:hint="default" w:ascii="宋体" w:hAnsi="宋体" w:eastAsia="仿宋_GB2312" w:cs="仿宋_GB2312"/>
          <w:b w:val="0"/>
          <w:bCs w:val="0"/>
          <w:color w:val="auto"/>
          <w:kern w:val="2"/>
          <w:sz w:val="32"/>
          <w:szCs w:val="40"/>
          <w:lang w:val="en-US" w:eastAsia="zh-CN" w:bidi="ar-SA"/>
        </w:rPr>
        <w:t>。</w:t>
      </w:r>
      <w:r>
        <w:rPr>
          <w:rFonts w:hint="eastAsia" w:ascii="仿宋_GB2312" w:hAnsi="仿宋_GB2312" w:eastAsia="仿宋_GB2312" w:cs="仿宋_GB2312"/>
          <w:color w:val="auto"/>
          <w:kern w:val="2"/>
          <w:sz w:val="32"/>
          <w:szCs w:val="32"/>
          <w:lang w:eastAsia="zh-CN"/>
        </w:rPr>
        <w:t>加快实施建筑垃圾资源化利用、一般工业固体废物处置及综合利用等项目，深化“无废城市”建设。</w:t>
      </w:r>
      <w:r>
        <w:rPr>
          <w:rFonts w:hint="eastAsia" w:ascii="宋体" w:hAnsi="宋体" w:eastAsia="仿宋_GB2312" w:cs="仿宋_GB2312"/>
          <w:b w:val="0"/>
          <w:bCs w:val="0"/>
          <w:color w:val="auto"/>
          <w:kern w:val="2"/>
          <w:sz w:val="32"/>
          <w:szCs w:val="40"/>
          <w:lang w:val="en-US" w:eastAsia="zh-CN" w:bidi="ar-SA"/>
        </w:rPr>
        <w:t>加大</w:t>
      </w:r>
      <w:r>
        <w:rPr>
          <w:rFonts w:hint="eastAsia" w:ascii="仿宋_GB2312" w:hAnsi="仿宋_GB2312" w:eastAsia="仿宋_GB2312" w:cs="仿宋_GB2312"/>
          <w:color w:val="auto"/>
          <w:kern w:val="2"/>
          <w:sz w:val="32"/>
          <w:szCs w:val="32"/>
          <w:lang w:val="en-US" w:eastAsia="zh-CN" w:bidi="ar-SA"/>
        </w:rPr>
        <w:t>生态保护修复力度，</w:t>
      </w:r>
      <w:r>
        <w:rPr>
          <w:rFonts w:hint="eastAsia" w:ascii="仿宋_GB2312" w:hAnsi="仿宋_GB2312" w:eastAsia="仿宋_GB2312" w:cs="仿宋_GB2312"/>
          <w:b w:val="0"/>
          <w:bCs w:val="0"/>
          <w:color w:val="auto"/>
          <w:sz w:val="32"/>
          <w:szCs w:val="32"/>
          <w:lang w:val="en-US" w:eastAsia="zh-CN"/>
        </w:rPr>
        <w:t>有序实施10.1万亩国家储备林项目，</w:t>
      </w:r>
      <w:r>
        <w:rPr>
          <w:rFonts w:hint="eastAsia" w:ascii="仿宋_GB2312" w:hAnsi="仿宋_GB2312" w:eastAsia="仿宋_GB2312" w:cs="仿宋_GB2312"/>
          <w:color w:val="auto"/>
          <w:sz w:val="32"/>
          <w:szCs w:val="32"/>
          <w:lang w:val="en-US" w:eastAsia="zh-CN"/>
        </w:rPr>
        <w:t>完成</w:t>
      </w:r>
      <w:r>
        <w:rPr>
          <w:rFonts w:hint="eastAsia" w:ascii="仿宋_GB2312" w:hAnsi="仿宋_GB2312" w:eastAsia="仿宋_GB2312" w:cs="仿宋_GB2312"/>
          <w:color w:val="auto"/>
          <w:kern w:val="2"/>
          <w:sz w:val="32"/>
          <w:szCs w:val="32"/>
          <w:lang w:val="en-US" w:eastAsia="zh-CN" w:bidi="ar-SA"/>
        </w:rPr>
        <w:t>低质低效林改造2.6万亩。加强能耗双控和“两高”项目准入管理，推动铅厂风电场（大余县部分）加快建设</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kern w:val="2"/>
          <w:sz w:val="32"/>
          <w:szCs w:val="32"/>
          <w:lang w:val="en-US" w:eastAsia="zh-CN" w:bidi="ar-SA"/>
        </w:rPr>
        <w:t>深化</w:t>
      </w:r>
      <w:r>
        <w:rPr>
          <w:rFonts w:hint="eastAsia" w:ascii="仿宋_GB2312" w:hAnsi="仿宋_GB2312" w:eastAsia="仿宋_GB2312" w:cs="仿宋_GB2312"/>
          <w:color w:val="auto"/>
          <w:sz w:val="32"/>
          <w:szCs w:val="32"/>
        </w:rPr>
        <w:t>省级生态产品价值实现机制改革示范</w:t>
      </w:r>
      <w:r>
        <w:rPr>
          <w:rFonts w:hint="eastAsia" w:ascii="仿宋_GB2312" w:hAnsi="仿宋_GB2312" w:eastAsia="仿宋_GB2312" w:cs="仿宋_GB2312"/>
          <w:color w:val="auto"/>
          <w:sz w:val="32"/>
          <w:szCs w:val="32"/>
          <w:lang w:eastAsia="zh-CN"/>
        </w:rPr>
        <w:t>建设，</w:t>
      </w:r>
      <w:r>
        <w:rPr>
          <w:rFonts w:hint="eastAsia" w:ascii="仿宋_GB2312" w:hAnsi="仿宋_GB2312" w:eastAsia="仿宋_GB2312" w:cs="仿宋_GB2312"/>
          <w:color w:val="auto"/>
          <w:sz w:val="32"/>
          <w:szCs w:val="32"/>
          <w:lang w:val="en-US" w:eastAsia="zh-CN"/>
        </w:rPr>
        <w:t>开工建设再生水利用配置试点项目，</w:t>
      </w:r>
      <w:r>
        <w:rPr>
          <w:rFonts w:hint="eastAsia" w:ascii="仿宋_GB2312" w:hAnsi="仿宋_GB2312" w:eastAsia="仿宋_GB2312" w:cs="仿宋_GB2312"/>
          <w:color w:val="auto"/>
          <w:sz w:val="32"/>
          <w:szCs w:val="32"/>
          <w:highlight w:val="none"/>
          <w:lang w:val="en-US" w:eastAsia="zh-CN"/>
        </w:rPr>
        <w:t>探索林业碳汇开发，</w:t>
      </w:r>
      <w:r>
        <w:rPr>
          <w:rFonts w:hint="eastAsia" w:ascii="仿宋_GB2312" w:hAnsi="仿宋_GB2312" w:eastAsia="仿宋_GB2312" w:cs="仿宋_GB2312"/>
          <w:color w:val="auto"/>
          <w:sz w:val="32"/>
          <w:szCs w:val="32"/>
          <w:lang w:eastAsia="zh-CN"/>
        </w:rPr>
        <w:t>推动水权交易增效扩面，创新推出符合我县生态产业发展的特色绿色金融产品。</w:t>
      </w:r>
    </w:p>
    <w:p w14:paraId="79E50B4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color w:val="auto"/>
          <w:sz w:val="32"/>
          <w:szCs w:val="32"/>
          <w:lang w:val="en-US" w:eastAsia="zh-CN"/>
        </w:rPr>
      </w:pPr>
      <w:r>
        <w:rPr>
          <w:rFonts w:hint="eastAsia" w:ascii="楷体_GB2312" w:hAnsi="楷体_GB2312" w:eastAsia="楷体_GB2312" w:cs="楷体_GB2312"/>
          <w:b/>
          <w:bCs/>
          <w:color w:val="auto"/>
          <w:sz w:val="32"/>
          <w:szCs w:val="32"/>
          <w:lang w:val="en-US" w:eastAsia="zh-CN"/>
        </w:rPr>
        <w:t>（五）狠抓民生改善，推动发展成色更“足”</w:t>
      </w:r>
    </w:p>
    <w:p w14:paraId="7494770E">
      <w:pPr>
        <w:keepNext w:val="0"/>
        <w:keepLines w:val="0"/>
        <w:pageBreakBefore w:val="0"/>
        <w:kinsoku/>
        <w:wordWrap/>
        <w:overflowPunct/>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b w:val="0"/>
          <w:bCs w:val="0"/>
          <w:color w:val="auto"/>
          <w:spacing w:val="0"/>
          <w:kern w:val="2"/>
          <w:sz w:val="32"/>
          <w:szCs w:val="32"/>
          <w:u w:val="single"/>
          <w:lang w:val="en-US" w:eastAsia="zh-CN" w:bidi="ar-SA"/>
        </w:rPr>
      </w:pPr>
      <w:r>
        <w:rPr>
          <w:rFonts w:hint="eastAsia" w:ascii="仿宋_GB2312" w:hAnsi="仿宋_GB2312" w:eastAsia="仿宋_GB2312" w:cs="仿宋_GB2312"/>
          <w:b/>
          <w:bCs/>
          <w:color w:val="auto"/>
          <w:sz w:val="32"/>
          <w:szCs w:val="32"/>
          <w:lang w:val="en-US" w:eastAsia="zh-CN"/>
        </w:rPr>
        <w:t>一是强化社会保障，增加幸福感。</w:t>
      </w:r>
      <w:r>
        <w:rPr>
          <w:rFonts w:hint="eastAsia" w:ascii="仿宋_GB2312" w:hAnsi="仿宋_GB2312" w:eastAsia="仿宋_GB2312" w:cs="仿宋_GB2312"/>
          <w:b w:val="0"/>
          <w:bCs w:val="0"/>
          <w:color w:val="auto"/>
          <w:sz w:val="32"/>
          <w:szCs w:val="32"/>
          <w:lang w:val="en-US" w:eastAsia="zh-CN"/>
        </w:rPr>
        <w:t>毫不松懈巩固拓展脱贫攻坚成果，</w:t>
      </w:r>
      <w:r>
        <w:rPr>
          <w:rFonts w:hint="eastAsia" w:ascii="仿宋_GB2312" w:hAnsi="仿宋_GB2312" w:eastAsia="仿宋_GB2312" w:cs="仿宋_GB2312"/>
          <w:b w:val="0"/>
          <w:bCs w:val="0"/>
          <w:color w:val="auto"/>
          <w:kern w:val="2"/>
          <w:sz w:val="32"/>
          <w:szCs w:val="32"/>
          <w:highlight w:val="none"/>
          <w:lang w:val="en-US" w:eastAsia="zh-CN" w:bidi="ar-SA"/>
        </w:rPr>
        <w:t>强化收入支出情况、“两不愁三保障”及饮水安全状况等常态化监测，坚决守住不发生规模性返贫底线。</w:t>
      </w:r>
      <w:r>
        <w:rPr>
          <w:rFonts w:hint="eastAsia" w:ascii="仿宋_GB2312" w:hAnsi="仿宋_GB2312" w:eastAsia="仿宋_GB2312" w:cs="仿宋_GB2312"/>
          <w:b w:val="0"/>
          <w:bCs w:val="0"/>
          <w:color w:val="auto"/>
          <w:sz w:val="32"/>
          <w:szCs w:val="32"/>
          <w:lang w:val="en-US" w:eastAsia="zh-CN"/>
        </w:rPr>
        <w:t>全力落实就业优先政策，</w:t>
      </w:r>
      <w:r>
        <w:rPr>
          <w:rFonts w:hint="eastAsia" w:ascii="仿宋_GB2312" w:hAnsi="仿宋_GB2312" w:eastAsia="仿宋_GB2312" w:cs="仿宋_GB2312"/>
          <w:b w:val="0"/>
          <w:bCs w:val="0"/>
          <w:color w:val="auto"/>
          <w:kern w:val="2"/>
          <w:sz w:val="32"/>
          <w:szCs w:val="32"/>
          <w:highlight w:val="none"/>
          <w:lang w:val="en-US" w:eastAsia="zh-CN" w:bidi="ar-SA"/>
        </w:rPr>
        <w:t>统筹做好高校毕业生、农民工、退役军人、就业困难人员等重点群体就业创业，促进“5+2就业之家”从“建好”到“用好”转变，确保就业形势总体稳定。稳步推动养老保险参保扩面，实现“应保尽保”。</w:t>
      </w:r>
      <w:r>
        <w:rPr>
          <w:rFonts w:hint="default" w:ascii="Times New Roman" w:hAnsi="Times New Roman" w:eastAsia="仿宋_GB2312" w:cs="Times New Roman"/>
          <w:b w:val="0"/>
          <w:bCs w:val="0"/>
          <w:color w:val="auto"/>
          <w:spacing w:val="0"/>
          <w:kern w:val="2"/>
          <w:sz w:val="32"/>
          <w:szCs w:val="32"/>
          <w:u w:val="none"/>
          <w:lang w:val="en-US" w:eastAsia="zh-CN" w:bidi="ar-SA"/>
        </w:rPr>
        <w:t>持续落实三孩奖励政策，</w:t>
      </w:r>
      <w:r>
        <w:rPr>
          <w:rFonts w:hint="eastAsia" w:ascii="仿宋_GB2312" w:hAnsi="仿宋_GB2312" w:eastAsia="仿宋_GB2312" w:cs="仿宋_GB2312"/>
          <w:b w:val="0"/>
          <w:bCs w:val="0"/>
          <w:color w:val="auto"/>
          <w:kern w:val="2"/>
          <w:sz w:val="32"/>
          <w:szCs w:val="32"/>
          <w:highlight w:val="none"/>
          <w:lang w:val="en-US" w:eastAsia="zh-CN" w:bidi="ar-SA"/>
        </w:rPr>
        <w:t>稳妥有序推进渐进式延迟退休年龄改革。</w:t>
      </w:r>
      <w:r>
        <w:rPr>
          <w:rFonts w:hint="eastAsia" w:ascii="仿宋_GB2312" w:hAnsi="仿宋_GB2312" w:eastAsia="仿宋_GB2312" w:cs="仿宋_GB2312"/>
          <w:b w:val="0"/>
          <w:bCs w:val="0"/>
          <w:color w:val="auto"/>
          <w:kern w:val="2"/>
          <w:sz w:val="32"/>
          <w:szCs w:val="32"/>
          <w:highlight w:val="none"/>
          <w:u w:val="none"/>
          <w:lang w:val="en-US" w:eastAsia="zh-CN" w:bidi="ar-SA"/>
        </w:rPr>
        <w:t>用心做优“一老一小”服务，</w:t>
      </w:r>
      <w:r>
        <w:rPr>
          <w:rFonts w:hint="eastAsia" w:ascii="仿宋_GB2312" w:hAnsi="仿宋_GB2312" w:eastAsia="仿宋_GB2312" w:cs="仿宋_GB2312"/>
          <w:b w:val="0"/>
          <w:bCs w:val="0"/>
          <w:color w:val="auto"/>
          <w:kern w:val="2"/>
          <w:sz w:val="32"/>
          <w:szCs w:val="32"/>
          <w:highlight w:val="none"/>
          <w:lang w:val="en-US" w:eastAsia="zh-CN" w:bidi="ar-SA"/>
        </w:rPr>
        <w:t>加快建设南安镇、黄龙镇、青龙镇、浮江乡公办养老院，建成启用</w:t>
      </w:r>
      <w:r>
        <w:rPr>
          <w:rFonts w:hint="default" w:ascii="仿宋_GB2312" w:hAnsi="仿宋_GB2312" w:eastAsia="仿宋_GB2312" w:cs="仿宋_GB2312"/>
          <w:b w:val="0"/>
          <w:bCs w:val="0"/>
          <w:color w:val="auto"/>
          <w:kern w:val="2"/>
          <w:sz w:val="32"/>
          <w:szCs w:val="32"/>
          <w:highlight w:val="none"/>
          <w:lang w:val="en-US" w:eastAsia="zh-CN" w:bidi="ar-SA"/>
        </w:rPr>
        <w:t>西门公办示</w:t>
      </w:r>
      <w:r>
        <w:rPr>
          <w:rFonts w:hint="default" w:ascii="Times New Roman" w:hAnsi="Times New Roman" w:eastAsia="仿宋_GB2312" w:cs="Times New Roman"/>
          <w:b w:val="0"/>
          <w:bCs w:val="0"/>
          <w:color w:val="auto"/>
          <w:spacing w:val="0"/>
          <w:kern w:val="2"/>
          <w:sz w:val="32"/>
          <w:szCs w:val="32"/>
          <w:lang w:val="en-US" w:eastAsia="zh-CN" w:bidi="ar-SA"/>
        </w:rPr>
        <w:t>范性托育机构。</w:t>
      </w:r>
      <w:r>
        <w:rPr>
          <w:rFonts w:hint="eastAsia" w:ascii="仿宋_GB2312" w:hAnsi="仿宋_GB2312" w:eastAsia="仿宋_GB2312" w:cs="仿宋_GB2312"/>
          <w:b w:val="0"/>
          <w:bCs w:val="0"/>
          <w:color w:val="auto"/>
          <w:kern w:val="2"/>
          <w:sz w:val="32"/>
          <w:szCs w:val="32"/>
          <w:highlight w:val="none"/>
          <w:u w:val="none"/>
          <w:lang w:val="en-US" w:eastAsia="zh-CN" w:bidi="ar-SA"/>
        </w:rPr>
        <w:t>力争城市居家和社区养老服务站点实现全覆盖，农村互助养老服务站点覆盖86%以上行政村。</w:t>
      </w:r>
    </w:p>
    <w:p w14:paraId="16BCA17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bCs/>
          <w:color w:val="auto"/>
          <w:sz w:val="32"/>
          <w:szCs w:val="32"/>
          <w:lang w:val="en-US" w:eastAsia="zh-CN"/>
        </w:rPr>
        <w:t>二是推进公共服务，增进获得感。</w:t>
      </w:r>
      <w:r>
        <w:rPr>
          <w:rFonts w:hint="eastAsia" w:ascii="仿宋_GB2312" w:hAnsi="仿宋_GB2312" w:eastAsia="仿宋_GB2312" w:cs="仿宋_GB2312"/>
          <w:b w:val="0"/>
          <w:bCs w:val="0"/>
          <w:color w:val="auto"/>
          <w:sz w:val="32"/>
          <w:szCs w:val="32"/>
          <w:lang w:val="en-US" w:eastAsia="zh-CN"/>
        </w:rPr>
        <w:t>完成县人民医院整体搬迁项目并启用新院区，</w:t>
      </w:r>
      <w:r>
        <w:rPr>
          <w:rFonts w:hint="eastAsia" w:ascii="仿宋_GB2312" w:hAnsi="仿宋_GB2312" w:eastAsia="仿宋_GB2312" w:cs="仿宋_GB2312"/>
          <w:b w:val="0"/>
          <w:bCs w:val="0"/>
          <w:color w:val="auto"/>
          <w:sz w:val="32"/>
          <w:szCs w:val="32"/>
          <w:highlight w:val="none"/>
          <w:u w:val="none" w:color="auto"/>
          <w:lang w:val="en-US" w:eastAsia="zh-CN"/>
        </w:rPr>
        <w:t>加快建设智慧医疗</w:t>
      </w:r>
      <w:r>
        <w:rPr>
          <w:rFonts w:hint="default" w:ascii="Times New Roman" w:hAnsi="Times New Roman" w:eastAsia="仿宋_GB2312" w:cs="Times New Roman"/>
          <w:b w:val="0"/>
          <w:bCs w:val="0"/>
          <w:color w:val="auto"/>
          <w:spacing w:val="0"/>
          <w:sz w:val="32"/>
          <w:szCs w:val="32"/>
          <w:lang w:val="en-US" w:eastAsia="zh-CN"/>
        </w:rPr>
        <w:t>、基层医疗卫生机构提升</w:t>
      </w:r>
      <w:r>
        <w:rPr>
          <w:rFonts w:hint="eastAsia" w:ascii="仿宋_GB2312" w:hAnsi="仿宋_GB2312" w:eastAsia="仿宋_GB2312" w:cs="仿宋_GB2312"/>
          <w:b w:val="0"/>
          <w:bCs w:val="0"/>
          <w:color w:val="auto"/>
          <w:sz w:val="32"/>
          <w:szCs w:val="32"/>
          <w:highlight w:val="none"/>
          <w:u w:val="none" w:color="auto"/>
          <w:lang w:val="en-US" w:eastAsia="zh-CN"/>
        </w:rPr>
        <w:t>、县域医共体服务能力提升等项目，全面推进国家中医药综合改革示范区建设，</w:t>
      </w:r>
      <w:r>
        <w:rPr>
          <w:rFonts w:hint="eastAsia" w:ascii="Times New Roman" w:hAnsi="Times New Roman" w:eastAsia="仿宋_GB2312" w:cs="Times New Roman"/>
          <w:b w:val="0"/>
          <w:bCs w:val="0"/>
          <w:color w:val="auto"/>
          <w:spacing w:val="0"/>
          <w:sz w:val="32"/>
          <w:szCs w:val="32"/>
          <w:lang w:val="en-US" w:eastAsia="zh-CN"/>
        </w:rPr>
        <w:t>推动大余</w:t>
      </w:r>
      <w:r>
        <w:rPr>
          <w:rFonts w:hint="default" w:ascii="Times New Roman" w:hAnsi="Times New Roman" w:eastAsia="仿宋_GB2312" w:cs="Times New Roman"/>
          <w:b w:val="0"/>
          <w:bCs w:val="0"/>
          <w:color w:val="auto"/>
          <w:spacing w:val="0"/>
          <w:sz w:val="32"/>
          <w:szCs w:val="32"/>
          <w:lang w:val="en-US" w:eastAsia="zh-CN"/>
        </w:rPr>
        <w:t>中医院达到二</w:t>
      </w:r>
      <w:r>
        <w:rPr>
          <w:rFonts w:hint="eastAsia" w:ascii="Times New Roman" w:hAnsi="Times New Roman" w:eastAsia="仿宋_GB2312" w:cs="Times New Roman"/>
          <w:b w:val="0"/>
          <w:bCs w:val="0"/>
          <w:color w:val="auto"/>
          <w:spacing w:val="0"/>
          <w:sz w:val="32"/>
          <w:szCs w:val="32"/>
          <w:lang w:val="en-US" w:eastAsia="zh-CN"/>
        </w:rPr>
        <w:t>级</w:t>
      </w:r>
      <w:r>
        <w:rPr>
          <w:rFonts w:hint="default" w:ascii="Times New Roman" w:hAnsi="Times New Roman" w:eastAsia="仿宋_GB2312" w:cs="Times New Roman"/>
          <w:b w:val="0"/>
          <w:bCs w:val="0"/>
          <w:color w:val="auto"/>
          <w:spacing w:val="0"/>
          <w:sz w:val="32"/>
          <w:szCs w:val="32"/>
          <w:lang w:val="en-US" w:eastAsia="zh-CN"/>
        </w:rPr>
        <w:t>中医医院水平</w:t>
      </w:r>
      <w:r>
        <w:rPr>
          <w:rFonts w:hint="eastAsia" w:ascii="Times New Roman" w:hAnsi="Times New Roman" w:eastAsia="仿宋_GB2312" w:cs="Times New Roman"/>
          <w:b w:val="0"/>
          <w:bCs w:val="0"/>
          <w:color w:val="auto"/>
          <w:spacing w:val="0"/>
          <w:sz w:val="32"/>
          <w:szCs w:val="32"/>
          <w:lang w:val="en-US" w:eastAsia="zh-CN"/>
        </w:rPr>
        <w:t>，力争</w:t>
      </w:r>
      <w:r>
        <w:rPr>
          <w:rFonts w:hint="default" w:ascii="Times New Roman" w:hAnsi="Times New Roman" w:eastAsia="仿宋_GB2312" w:cs="Times New Roman"/>
          <w:b w:val="0"/>
          <w:bCs w:val="0"/>
          <w:color w:val="auto"/>
          <w:spacing w:val="0"/>
          <w:sz w:val="32"/>
          <w:szCs w:val="32"/>
          <w:lang w:val="en-US" w:eastAsia="zh-CN"/>
        </w:rPr>
        <w:t>基层公共卫生科标准化建设达</w:t>
      </w:r>
      <w:r>
        <w:rPr>
          <w:rFonts w:hint="eastAsia" w:ascii="仿宋_GB2312" w:hAnsi="仿宋_GB2312" w:eastAsia="仿宋_GB2312" w:cs="仿宋_GB2312"/>
          <w:b w:val="0"/>
          <w:bCs w:val="0"/>
          <w:color w:val="auto"/>
          <w:spacing w:val="0"/>
          <w:sz w:val="32"/>
          <w:szCs w:val="32"/>
          <w:lang w:val="en-US" w:eastAsia="zh-CN"/>
        </w:rPr>
        <w:t>80%</w:t>
      </w:r>
      <w:r>
        <w:rPr>
          <w:rFonts w:hint="eastAsia" w:ascii="Times New Roman" w:hAnsi="Times New Roman" w:eastAsia="仿宋_GB2312" w:cs="Times New Roman"/>
          <w:b w:val="0"/>
          <w:bCs w:val="0"/>
          <w:color w:val="auto"/>
          <w:spacing w:val="0"/>
          <w:sz w:val="32"/>
          <w:szCs w:val="32"/>
          <w:lang w:val="en-US" w:eastAsia="zh-CN"/>
        </w:rPr>
        <w:t>，</w:t>
      </w:r>
      <w:r>
        <w:rPr>
          <w:rFonts w:hint="eastAsia" w:ascii="Times New Roman" w:hAnsi="Times New Roman" w:eastAsia="仿宋_GB2312" w:cs="Times New Roman"/>
          <w:b w:val="0"/>
          <w:bCs w:val="0"/>
          <w:color w:val="auto"/>
          <w:spacing w:val="0"/>
          <w:kern w:val="2"/>
          <w:sz w:val="32"/>
          <w:szCs w:val="32"/>
          <w:highlight w:val="none"/>
          <w:lang w:val="en-US" w:eastAsia="zh-CN" w:bidi="ar-SA"/>
        </w:rPr>
        <w:t>提升</w:t>
      </w:r>
      <w:r>
        <w:rPr>
          <w:rFonts w:hint="default" w:ascii="Times New Roman" w:hAnsi="Times New Roman" w:eastAsia="仿宋_GB2312" w:cs="Times New Roman"/>
          <w:b w:val="0"/>
          <w:bCs w:val="0"/>
          <w:color w:val="auto"/>
          <w:spacing w:val="0"/>
          <w:kern w:val="2"/>
          <w:sz w:val="32"/>
          <w:szCs w:val="32"/>
          <w:highlight w:val="none"/>
          <w:lang w:val="en-US" w:eastAsia="zh-CN" w:bidi="ar-SA"/>
        </w:rPr>
        <w:t>县总医院</w:t>
      </w:r>
      <w:r>
        <w:rPr>
          <w:rFonts w:hint="eastAsia" w:ascii="Times New Roman" w:hAnsi="Times New Roman" w:eastAsia="仿宋_GB2312" w:cs="Times New Roman"/>
          <w:b w:val="0"/>
          <w:bCs w:val="0"/>
          <w:color w:val="auto"/>
          <w:spacing w:val="0"/>
          <w:kern w:val="2"/>
          <w:sz w:val="32"/>
          <w:szCs w:val="32"/>
          <w:highlight w:val="none"/>
          <w:lang w:val="en-US" w:eastAsia="zh-CN" w:bidi="ar-SA"/>
        </w:rPr>
        <w:t>在</w:t>
      </w:r>
      <w:r>
        <w:rPr>
          <w:rFonts w:hint="default" w:ascii="Times New Roman" w:hAnsi="Times New Roman" w:eastAsia="仿宋_GB2312" w:cs="Times New Roman"/>
          <w:b w:val="0"/>
          <w:bCs w:val="0"/>
          <w:color w:val="auto"/>
          <w:spacing w:val="0"/>
          <w:kern w:val="2"/>
          <w:sz w:val="32"/>
          <w:szCs w:val="32"/>
          <w:highlight w:val="none"/>
          <w:lang w:val="en-US" w:eastAsia="zh-CN" w:bidi="ar-SA"/>
        </w:rPr>
        <w:t>赣州西南及周边区域影响力</w:t>
      </w:r>
      <w:r>
        <w:rPr>
          <w:rFonts w:hint="default" w:ascii="Times New Roman" w:hAnsi="Times New Roman" w:eastAsia="仿宋_GB2312" w:cs="Times New Roman"/>
          <w:b w:val="0"/>
          <w:bCs w:val="0"/>
          <w:color w:val="auto"/>
          <w:spacing w:val="0"/>
          <w:sz w:val="32"/>
          <w:szCs w:val="32"/>
          <w:lang w:val="en-US" w:eastAsia="zh-CN"/>
        </w:rPr>
        <w:t>。</w:t>
      </w:r>
      <w:r>
        <w:rPr>
          <w:rFonts w:hint="eastAsia" w:ascii="仿宋_GB2312" w:hAnsi="仿宋_GB2312" w:eastAsia="仿宋_GB2312" w:cs="仿宋_GB2312"/>
          <w:color w:val="auto"/>
          <w:sz w:val="32"/>
          <w:szCs w:val="32"/>
          <w:lang w:val="en-US" w:eastAsia="zh-CN"/>
        </w:rPr>
        <w:t>继续优化城乡小学网点布局，推动第四小学实现秋季开学招生。</w:t>
      </w:r>
      <w:r>
        <w:rPr>
          <w:rFonts w:hint="eastAsia" w:ascii="仿宋_GB2312" w:hAnsi="仿宋_GB2312" w:eastAsia="仿宋_GB2312" w:cs="仿宋_GB2312"/>
          <w:color w:val="auto"/>
          <w:sz w:val="32"/>
          <w:szCs w:val="32"/>
        </w:rPr>
        <w:t>发展优质职业教育</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u w:val="none"/>
          <w:lang w:val="en-US" w:eastAsia="zh-CN"/>
        </w:rPr>
        <w:t>建</w:t>
      </w:r>
      <w:r>
        <w:rPr>
          <w:rFonts w:hint="eastAsia" w:ascii="仿宋_GB2312" w:hAnsi="仿宋_GB2312" w:eastAsia="仿宋_GB2312" w:cs="仿宋_GB2312"/>
          <w:color w:val="auto"/>
          <w:sz w:val="32"/>
          <w:szCs w:val="32"/>
          <w:u w:val="none"/>
          <w:lang w:eastAsia="zh-CN"/>
        </w:rPr>
        <w:t>成大余县职业教育公共培训基地，</w:t>
      </w:r>
      <w:r>
        <w:rPr>
          <w:rFonts w:hint="eastAsia" w:ascii="仿宋_GB2312" w:hAnsi="仿宋_GB2312" w:eastAsia="仿宋_GB2312" w:cs="仿宋_GB2312"/>
          <w:color w:val="auto"/>
          <w:sz w:val="32"/>
          <w:szCs w:val="32"/>
          <w:lang w:eastAsia="zh-CN"/>
        </w:rPr>
        <w:t>争取年内开工建设赣州高新职业学院。</w:t>
      </w:r>
      <w:r>
        <w:rPr>
          <w:rFonts w:hint="eastAsia" w:ascii="仿宋_GB2312" w:hAnsi="仿宋_GB2312" w:eastAsia="仿宋_GB2312" w:cs="仿宋_GB2312"/>
          <w:b w:val="0"/>
          <w:bCs w:val="0"/>
          <w:color w:val="auto"/>
          <w:sz w:val="32"/>
          <w:szCs w:val="32"/>
          <w:lang w:val="en-US" w:eastAsia="zh-CN"/>
        </w:rPr>
        <w:t>大力实施文化惠民工程，实施图书馆搬迁工程、广播电视基本公共服务县级标准化试点建设等项目，</w:t>
      </w:r>
      <w:r>
        <w:rPr>
          <w:rFonts w:hint="eastAsia" w:ascii="仿宋_GB2312" w:hAnsi="仿宋_GB2312" w:eastAsia="仿宋_GB2312" w:cs="仿宋_GB2312"/>
          <w:color w:val="auto"/>
          <w:sz w:val="32"/>
          <w:szCs w:val="32"/>
          <w:lang w:val="en-US" w:eastAsia="zh-CN"/>
        </w:rPr>
        <w:t>推进</w:t>
      </w:r>
      <w:r>
        <w:rPr>
          <w:rFonts w:hint="eastAsia" w:ascii="仿宋_GB2312" w:hAnsi="仿宋_GB2312" w:eastAsia="仿宋_GB2312" w:cs="仿宋_GB2312"/>
          <w:color w:val="auto"/>
          <w:sz w:val="32"/>
          <w:szCs w:val="32"/>
          <w:lang w:eastAsia="zh-CN"/>
        </w:rPr>
        <w:t>南方红军三年游击战争纪念馆</w:t>
      </w:r>
      <w:r>
        <w:rPr>
          <w:rFonts w:hint="eastAsia" w:ascii="仿宋_GB2312" w:hAnsi="仿宋_GB2312" w:eastAsia="仿宋_GB2312" w:cs="仿宋_GB2312"/>
          <w:color w:val="auto"/>
          <w:sz w:val="32"/>
          <w:szCs w:val="32"/>
          <w:lang w:val="en-US" w:eastAsia="zh-CN"/>
        </w:rPr>
        <w:t>创评</w:t>
      </w:r>
      <w:r>
        <w:rPr>
          <w:rFonts w:hint="eastAsia" w:ascii="仿宋_GB2312" w:hAnsi="仿宋_GB2312" w:eastAsia="仿宋_GB2312" w:cs="仿宋_GB2312"/>
          <w:color w:val="auto"/>
          <w:sz w:val="32"/>
          <w:szCs w:val="32"/>
          <w:lang w:eastAsia="zh-CN"/>
        </w:rPr>
        <w:t>全国爱国主义教育基地、</w:t>
      </w:r>
      <w:r>
        <w:rPr>
          <w:rFonts w:hint="eastAsia" w:ascii="仿宋_GB2312" w:hAnsi="仿宋_GB2312" w:eastAsia="仿宋_GB2312" w:cs="仿宋_GB2312"/>
          <w:color w:val="auto"/>
          <w:sz w:val="32"/>
          <w:szCs w:val="32"/>
          <w:lang w:val="en-US" w:eastAsia="zh-CN"/>
        </w:rPr>
        <w:t>“大余</w:t>
      </w:r>
      <w:r>
        <w:rPr>
          <w:rFonts w:hint="default" w:ascii="仿宋_GB2312" w:hAnsi="仿宋_GB2312" w:eastAsia="仿宋_GB2312" w:cs="仿宋_GB2312"/>
          <w:color w:val="auto"/>
          <w:sz w:val="32"/>
          <w:szCs w:val="32"/>
          <w:lang w:val="en-US" w:eastAsia="zh-CN"/>
        </w:rPr>
        <w:t>旁牌阵</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申报国家级非物质文化遗产</w:t>
      </w:r>
      <w:r>
        <w:rPr>
          <w:rFonts w:hint="eastAsia" w:ascii="仿宋_GB2312" w:hAnsi="仿宋_GB2312" w:eastAsia="仿宋_GB2312" w:cs="仿宋_GB2312"/>
          <w:color w:val="auto"/>
          <w:sz w:val="32"/>
          <w:szCs w:val="32"/>
          <w:lang w:val="en-US" w:eastAsia="zh-CN"/>
        </w:rPr>
        <w:t>名录</w:t>
      </w:r>
      <w:r>
        <w:rPr>
          <w:rFonts w:hint="eastAsia" w:ascii="仿宋_GB2312" w:hAnsi="仿宋_GB2312" w:eastAsia="仿宋_GB2312" w:cs="仿宋_GB2312"/>
          <w:b w:val="0"/>
          <w:bCs w:val="0"/>
          <w:color w:val="auto"/>
          <w:sz w:val="32"/>
          <w:szCs w:val="32"/>
          <w:lang w:val="en-US" w:eastAsia="zh-CN"/>
        </w:rPr>
        <w:t>。</w:t>
      </w:r>
    </w:p>
    <w:p w14:paraId="1422F92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仿宋_GB2312" w:cs="仿宋_GB2312"/>
          <w:color w:val="auto"/>
          <w:kern w:val="2"/>
          <w:sz w:val="32"/>
          <w:szCs w:val="32"/>
          <w:lang w:val="en-US" w:eastAsia="zh-CN" w:bidi="ar-SA"/>
        </w:rPr>
      </w:pPr>
      <w:r>
        <w:rPr>
          <w:rFonts w:hint="eastAsia" w:ascii="仿宋_GB2312" w:hAnsi="仿宋_GB2312" w:eastAsia="仿宋_GB2312" w:cs="仿宋_GB2312"/>
          <w:b/>
          <w:bCs/>
          <w:color w:val="auto"/>
          <w:sz w:val="32"/>
          <w:szCs w:val="32"/>
          <w:lang w:val="en-US" w:eastAsia="zh-CN"/>
        </w:rPr>
        <w:t>三是维护社会稳定，提升安全感。</w:t>
      </w:r>
      <w:r>
        <w:rPr>
          <w:rFonts w:hint="eastAsia" w:ascii="仿宋_GB2312" w:hAnsi="仿宋_GB2312" w:eastAsia="仿宋_GB2312" w:cs="仿宋_GB2312"/>
          <w:i w:val="0"/>
          <w:caps w:val="0"/>
          <w:color w:val="auto"/>
          <w:spacing w:val="0"/>
          <w:sz w:val="32"/>
          <w:szCs w:val="32"/>
          <w:shd w:val="clear" w:fill="FFFFFF"/>
          <w:lang w:eastAsia="zh-CN"/>
        </w:rPr>
        <w:t>坚持和</w:t>
      </w:r>
      <w:r>
        <w:rPr>
          <w:rFonts w:hint="eastAsia" w:ascii="仿宋_GB2312" w:hAnsi="仿宋_GB2312" w:eastAsia="仿宋_GB2312" w:cs="仿宋_GB2312"/>
          <w:i w:val="0"/>
          <w:caps w:val="0"/>
          <w:color w:val="auto"/>
          <w:spacing w:val="0"/>
          <w:sz w:val="32"/>
          <w:szCs w:val="32"/>
          <w:shd w:val="clear" w:fill="FFFFFF"/>
        </w:rPr>
        <w:t>发展新时代“枫桥经验”</w:t>
      </w:r>
      <w:r>
        <w:rPr>
          <w:rFonts w:hint="eastAsia" w:ascii="仿宋_GB2312" w:hAnsi="仿宋_GB2312" w:eastAsia="仿宋_GB2312" w:cs="仿宋_GB2312"/>
          <w:i w:val="0"/>
          <w:caps w:val="0"/>
          <w:color w:val="auto"/>
          <w:spacing w:val="0"/>
          <w:sz w:val="32"/>
          <w:szCs w:val="32"/>
          <w:shd w:val="clear" w:fill="FFFFFF"/>
          <w:lang w:eastAsia="zh-CN"/>
        </w:rPr>
        <w:t>，</w:t>
      </w:r>
      <w:r>
        <w:rPr>
          <w:rFonts w:hint="eastAsia" w:ascii="仿宋_GB2312" w:hAnsi="仿宋_GB2312" w:eastAsia="仿宋_GB2312" w:cs="仿宋_GB2312"/>
          <w:color w:val="auto"/>
          <w:sz w:val="32"/>
          <w:szCs w:val="32"/>
          <w:u w:val="none" w:color="auto"/>
          <w:lang w:val="en-US" w:eastAsia="zh-CN"/>
        </w:rPr>
        <w:t>落实好“寻乌模式”大余实践，</w:t>
      </w:r>
      <w:r>
        <w:rPr>
          <w:rFonts w:hint="eastAsia" w:ascii="仿宋_GB2312" w:hAnsi="仿宋_GB2312" w:eastAsia="仿宋_GB2312" w:cs="仿宋_GB2312"/>
          <w:b w:val="0"/>
          <w:bCs w:val="0"/>
          <w:color w:val="auto"/>
          <w:sz w:val="32"/>
          <w:szCs w:val="32"/>
          <w:lang w:val="en-US" w:eastAsia="zh-CN"/>
        </w:rPr>
        <w:t>开展矛盾纠纷“大排查、大化解”行动，预防和减少“民转刑”案件发生。</w:t>
      </w:r>
      <w:r>
        <w:rPr>
          <w:rFonts w:hint="eastAsia" w:ascii="仿宋_GB2312" w:hAnsi="仿宋_GB2312" w:eastAsia="仿宋_GB2312" w:cs="仿宋_GB2312"/>
          <w:b w:val="0"/>
          <w:bCs w:val="0"/>
          <w:color w:val="auto"/>
          <w:sz w:val="32"/>
          <w:szCs w:val="32"/>
          <w:u w:val="none"/>
          <w:lang w:val="en-US" w:eastAsia="zh-CN"/>
        </w:rPr>
        <w:t>深化根治欠薪专项行动，强化劳动关系源头治理。</w:t>
      </w:r>
      <w:r>
        <w:rPr>
          <w:rFonts w:hint="eastAsia" w:ascii="仿宋_GB2312" w:hAnsi="仿宋_GB2312" w:eastAsia="仿宋_GB2312" w:cs="仿宋_GB2312"/>
          <w:b w:val="0"/>
          <w:bCs w:val="0"/>
          <w:color w:val="auto"/>
          <w:sz w:val="32"/>
          <w:szCs w:val="32"/>
          <w:u w:val="none" w:color="auto"/>
          <w:lang w:val="en-US" w:eastAsia="zh-CN"/>
        </w:rPr>
        <w:t>常态化开展扫黑除恶斗争、</w:t>
      </w:r>
      <w:r>
        <w:rPr>
          <w:rFonts w:hint="eastAsia" w:ascii="仿宋_GB2312" w:hAnsi="仿宋_GB2312" w:eastAsia="仿宋_GB2312" w:cs="仿宋_GB2312"/>
          <w:b w:val="0"/>
          <w:bCs w:val="0"/>
          <w:color w:val="auto"/>
          <w:sz w:val="32"/>
          <w:szCs w:val="32"/>
          <w:lang w:val="en-US" w:eastAsia="zh-CN"/>
        </w:rPr>
        <w:t>禁毒、反邪教、校园及周边安全治理等工作，</w:t>
      </w:r>
      <w:r>
        <w:rPr>
          <w:rFonts w:hint="eastAsia" w:ascii="仿宋_GB2312" w:hAnsi="仿宋_GB2312" w:eastAsia="仿宋_GB2312" w:cs="仿宋_GB2312"/>
          <w:b w:val="0"/>
          <w:bCs w:val="0"/>
          <w:color w:val="auto"/>
          <w:sz w:val="32"/>
          <w:szCs w:val="32"/>
          <w:u w:val="none" w:color="auto"/>
          <w:lang w:val="en-US" w:eastAsia="zh-CN"/>
        </w:rPr>
        <w:t>打击治理电诈犯罪、养老诈骗，</w:t>
      </w:r>
      <w:r>
        <w:rPr>
          <w:rFonts w:hint="eastAsia" w:ascii="仿宋_GB2312" w:hAnsi="仿宋_GB2312" w:eastAsia="仿宋_GB2312" w:cs="仿宋_GB2312"/>
          <w:i w:val="0"/>
          <w:caps w:val="0"/>
          <w:color w:val="auto"/>
          <w:spacing w:val="0"/>
          <w:sz w:val="32"/>
          <w:szCs w:val="32"/>
          <w:shd w:val="clear" w:fill="FFFFFF"/>
        </w:rPr>
        <w:t>深化</w:t>
      </w:r>
      <w:r>
        <w:rPr>
          <w:rFonts w:hint="eastAsia" w:ascii="仿宋_GB2312" w:hAnsi="仿宋_GB2312" w:eastAsia="仿宋_GB2312" w:cs="仿宋_GB2312"/>
          <w:i w:val="0"/>
          <w:caps w:val="0"/>
          <w:color w:val="auto"/>
          <w:spacing w:val="0"/>
          <w:sz w:val="32"/>
          <w:szCs w:val="32"/>
          <w:shd w:val="clear" w:fill="FFFFFF"/>
          <w:lang w:eastAsia="zh-CN"/>
        </w:rPr>
        <w:t>“一村一辅警”“一格一警”“一企一警”建设</w:t>
      </w:r>
      <w:r>
        <w:rPr>
          <w:rFonts w:hint="eastAsia" w:ascii="仿宋_GB2312" w:hAnsi="仿宋_GB2312" w:eastAsia="仿宋_GB2312" w:cs="仿宋_GB2312"/>
          <w:i w:val="0"/>
          <w:caps w:val="0"/>
          <w:color w:val="auto"/>
          <w:spacing w:val="0"/>
          <w:sz w:val="32"/>
          <w:szCs w:val="32"/>
          <w:shd w:val="clear" w:fill="FFFFFF"/>
        </w:rPr>
        <w:t>，</w:t>
      </w:r>
      <w:r>
        <w:rPr>
          <w:rFonts w:hint="eastAsia" w:ascii="仿宋_GB2312" w:hAnsi="仿宋_GB2312" w:eastAsia="仿宋_GB2312" w:cs="仿宋_GB2312"/>
          <w:b w:val="0"/>
          <w:i w:val="0"/>
          <w:caps w:val="0"/>
          <w:color w:val="auto"/>
          <w:spacing w:val="0"/>
          <w:sz w:val="32"/>
          <w:szCs w:val="32"/>
          <w:shd w:val="clear" w:fill="FFFFFF"/>
          <w:lang w:eastAsia="zh-CN"/>
        </w:rPr>
        <w:t>建好建强“城市快警”，</w:t>
      </w:r>
      <w:r>
        <w:rPr>
          <w:rFonts w:hint="eastAsia" w:ascii="仿宋_GB2312" w:hAnsi="仿宋_GB2312" w:eastAsia="仿宋_GB2312" w:cs="仿宋_GB2312"/>
          <w:color w:val="auto"/>
          <w:sz w:val="32"/>
          <w:szCs w:val="32"/>
          <w:u w:val="none" w:color="auto"/>
          <w:lang w:val="en-US" w:eastAsia="zh-CN"/>
        </w:rPr>
        <w:t>提高群众安全指数。严格落实安全生产责任制，深入开展</w:t>
      </w:r>
      <w:r>
        <w:rPr>
          <w:rFonts w:hint="eastAsia" w:ascii="仿宋_GB2312" w:hAnsi="楷体_GB2312" w:eastAsia="仿宋_GB2312" w:cs="楷体_GB2312"/>
          <w:bCs/>
          <w:snapToGrid w:val="0"/>
          <w:color w:val="auto"/>
          <w:kern w:val="0"/>
          <w:sz w:val="32"/>
          <w:szCs w:val="32"/>
        </w:rPr>
        <w:t>安全生产治本攻坚三年行动</w:t>
      </w:r>
      <w:r>
        <w:rPr>
          <w:rFonts w:hint="eastAsia" w:ascii="仿宋_GB2312" w:hAnsi="楷体_GB2312" w:eastAsia="仿宋_GB2312" w:cs="楷体_GB2312"/>
          <w:bCs/>
          <w:snapToGrid w:val="0"/>
          <w:color w:val="auto"/>
          <w:kern w:val="0"/>
          <w:sz w:val="32"/>
          <w:szCs w:val="32"/>
          <w:lang w:eastAsia="zh-CN"/>
        </w:rPr>
        <w:t>，切实加强基层应急管理能力建设，</w:t>
      </w:r>
      <w:r>
        <w:rPr>
          <w:rFonts w:hint="eastAsia" w:ascii="仿宋_GB2312" w:hAnsi="仿宋_GB2312" w:eastAsia="仿宋_GB2312" w:cs="仿宋_GB2312"/>
          <w:color w:val="auto"/>
          <w:sz w:val="32"/>
          <w:szCs w:val="32"/>
          <w:lang w:val="en-US" w:eastAsia="zh-CN"/>
        </w:rPr>
        <w:t>统筹做好防汛和抗旱工作，确保社会大局安定有序。</w:t>
      </w:r>
      <w:r>
        <w:rPr>
          <w:rFonts w:hint="eastAsia" w:ascii="仿宋_GB2312" w:hAnsi="楷体_GB2312" w:eastAsia="仿宋_GB2312" w:cs="楷体_GB2312"/>
          <w:bCs/>
          <w:snapToGrid w:val="0"/>
          <w:color w:val="auto"/>
          <w:kern w:val="0"/>
          <w:sz w:val="32"/>
          <w:szCs w:val="32"/>
          <w:lang w:val="en-US" w:eastAsia="zh-CN"/>
        </w:rPr>
        <w:t>强化</w:t>
      </w:r>
      <w:r>
        <w:rPr>
          <w:rFonts w:hint="eastAsia" w:ascii="仿宋_GB2312" w:hAnsi="楷体_GB2312" w:eastAsia="仿宋_GB2312" w:cs="楷体_GB2312"/>
          <w:bCs/>
          <w:snapToGrid w:val="0"/>
          <w:color w:val="auto"/>
          <w:kern w:val="0"/>
          <w:sz w:val="32"/>
          <w:szCs w:val="32"/>
          <w:lang w:eastAsia="zh-CN"/>
        </w:rPr>
        <w:t>国防动员和后备力量建设，持续推动双拥共建。</w:t>
      </w:r>
      <w:bookmarkStart w:id="0" w:name="_GoBack"/>
      <w:bookmarkEnd w:id="0"/>
    </w:p>
    <w:sectPr>
      <w:footerReference r:id="rId3" w:type="default"/>
      <w:pgSz w:w="11906" w:h="16838"/>
      <w:pgMar w:top="1587" w:right="1191" w:bottom="1587" w:left="119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0461C8A-4D9D-4FB9-8362-9FB69F931BAB}"/>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CDC78D7A-2B68-456D-A94C-39423DCE93EE}"/>
  </w:font>
  <w:font w:name="仿宋_GB2312">
    <w:panose1 w:val="02010609030101010101"/>
    <w:charset w:val="86"/>
    <w:family w:val="auto"/>
    <w:pitch w:val="default"/>
    <w:sig w:usb0="00000001" w:usb1="080E0000" w:usb2="00000000" w:usb3="00000000" w:csb0="00040000" w:csb1="00000000"/>
    <w:embedRegular r:id="rId3" w:fontKey="{BC24EB68-C859-48E6-84DE-C99225764A43}"/>
  </w:font>
  <w:font w:name="方正小标宋简体">
    <w:panose1 w:val="03000509000000000000"/>
    <w:charset w:val="86"/>
    <w:family w:val="auto"/>
    <w:pitch w:val="default"/>
    <w:sig w:usb0="00000001" w:usb1="080E0000" w:usb2="00000000" w:usb3="00000000" w:csb0="00040000" w:csb1="00000000"/>
    <w:embedRegular r:id="rId4" w:fontKey="{EEB9C946-5EC7-4914-953A-3E661AB70557}"/>
  </w:font>
  <w:font w:name="楷体_GB2312">
    <w:panose1 w:val="02010609030101010101"/>
    <w:charset w:val="86"/>
    <w:family w:val="auto"/>
    <w:pitch w:val="default"/>
    <w:sig w:usb0="00000001" w:usb1="080E0000" w:usb2="00000000" w:usb3="00000000" w:csb0="00040000" w:csb1="00000000"/>
    <w:embedRegular r:id="rId5" w:fontKey="{A4B7B937-FD8F-4736-851F-77114F58F3D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6E78E0">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36D294">
                          <w:pPr>
                            <w:pStyle w:val="6"/>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1</w:t>
                          </w:r>
                          <w:r>
                            <w:rPr>
                              <w:rFonts w:hint="eastAsia" w:asciiTheme="minorEastAsia" w:hAnsi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436D294">
                    <w:pPr>
                      <w:pStyle w:val="6"/>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1</w:t>
                    </w:r>
                    <w:r>
                      <w:rPr>
                        <w:rFonts w:hint="eastAsia" w:asciiTheme="minorEastAsia" w:hAnsi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D45D16"/>
    <w:rsid w:val="00226212"/>
    <w:rsid w:val="002B6923"/>
    <w:rsid w:val="002C38ED"/>
    <w:rsid w:val="00692197"/>
    <w:rsid w:val="008D366B"/>
    <w:rsid w:val="015F762C"/>
    <w:rsid w:val="018112FE"/>
    <w:rsid w:val="01BA1B6F"/>
    <w:rsid w:val="01C0334D"/>
    <w:rsid w:val="01D32DCE"/>
    <w:rsid w:val="028E656A"/>
    <w:rsid w:val="02AC5F22"/>
    <w:rsid w:val="02D01B56"/>
    <w:rsid w:val="03081A12"/>
    <w:rsid w:val="03174F3D"/>
    <w:rsid w:val="035C600F"/>
    <w:rsid w:val="0391231E"/>
    <w:rsid w:val="03BE1E8F"/>
    <w:rsid w:val="03C76963"/>
    <w:rsid w:val="04507CBE"/>
    <w:rsid w:val="058C5071"/>
    <w:rsid w:val="067B1C86"/>
    <w:rsid w:val="06C83DCE"/>
    <w:rsid w:val="070A6EA2"/>
    <w:rsid w:val="072F2816"/>
    <w:rsid w:val="0753642A"/>
    <w:rsid w:val="07835682"/>
    <w:rsid w:val="07B95303"/>
    <w:rsid w:val="07BE62CF"/>
    <w:rsid w:val="07DD46FE"/>
    <w:rsid w:val="08C56C55"/>
    <w:rsid w:val="08D321F3"/>
    <w:rsid w:val="09080657"/>
    <w:rsid w:val="09E5601D"/>
    <w:rsid w:val="09FD65DB"/>
    <w:rsid w:val="0A264F78"/>
    <w:rsid w:val="0A951B0C"/>
    <w:rsid w:val="0AA2701F"/>
    <w:rsid w:val="0B04049C"/>
    <w:rsid w:val="0B2F6306"/>
    <w:rsid w:val="0B756522"/>
    <w:rsid w:val="0BCD15AA"/>
    <w:rsid w:val="0D156135"/>
    <w:rsid w:val="0D4B4617"/>
    <w:rsid w:val="0DCD445C"/>
    <w:rsid w:val="0E682AF0"/>
    <w:rsid w:val="0F0300ED"/>
    <w:rsid w:val="0F5D63CD"/>
    <w:rsid w:val="0FE55A87"/>
    <w:rsid w:val="0FEE251D"/>
    <w:rsid w:val="10927418"/>
    <w:rsid w:val="10B53749"/>
    <w:rsid w:val="10DB57FB"/>
    <w:rsid w:val="10E33519"/>
    <w:rsid w:val="111355E0"/>
    <w:rsid w:val="11193C86"/>
    <w:rsid w:val="11317039"/>
    <w:rsid w:val="114F540F"/>
    <w:rsid w:val="11511F61"/>
    <w:rsid w:val="11A45387"/>
    <w:rsid w:val="11D4470B"/>
    <w:rsid w:val="12B11972"/>
    <w:rsid w:val="12DF03EC"/>
    <w:rsid w:val="130B6D05"/>
    <w:rsid w:val="133A4545"/>
    <w:rsid w:val="13497394"/>
    <w:rsid w:val="137504C5"/>
    <w:rsid w:val="13C133CE"/>
    <w:rsid w:val="13D508DD"/>
    <w:rsid w:val="14221993"/>
    <w:rsid w:val="14CF1B1B"/>
    <w:rsid w:val="15252C38"/>
    <w:rsid w:val="15D46CBD"/>
    <w:rsid w:val="163D0D06"/>
    <w:rsid w:val="16775651"/>
    <w:rsid w:val="16897AA8"/>
    <w:rsid w:val="16AE417C"/>
    <w:rsid w:val="16C01A68"/>
    <w:rsid w:val="16C61E06"/>
    <w:rsid w:val="16F130E2"/>
    <w:rsid w:val="17084BB6"/>
    <w:rsid w:val="172B0B5F"/>
    <w:rsid w:val="17845DA0"/>
    <w:rsid w:val="178564C1"/>
    <w:rsid w:val="178C2C6C"/>
    <w:rsid w:val="17B00BFC"/>
    <w:rsid w:val="17CE3D3E"/>
    <w:rsid w:val="18087656"/>
    <w:rsid w:val="186F4AA4"/>
    <w:rsid w:val="188D1AD1"/>
    <w:rsid w:val="18AC2836"/>
    <w:rsid w:val="18DD3099"/>
    <w:rsid w:val="19015F6B"/>
    <w:rsid w:val="19B954D1"/>
    <w:rsid w:val="1A1F2BFD"/>
    <w:rsid w:val="1A3760C8"/>
    <w:rsid w:val="1A9942B1"/>
    <w:rsid w:val="1B8878D5"/>
    <w:rsid w:val="1BA427A8"/>
    <w:rsid w:val="1BE27D93"/>
    <w:rsid w:val="1C2E7D92"/>
    <w:rsid w:val="1C6B037B"/>
    <w:rsid w:val="1C77510D"/>
    <w:rsid w:val="1C931917"/>
    <w:rsid w:val="1CED1AC3"/>
    <w:rsid w:val="1D266050"/>
    <w:rsid w:val="1DD22107"/>
    <w:rsid w:val="1E1F3014"/>
    <w:rsid w:val="1E363FD0"/>
    <w:rsid w:val="1E764C73"/>
    <w:rsid w:val="1E8B7C3E"/>
    <w:rsid w:val="1EF94BAD"/>
    <w:rsid w:val="1F06438B"/>
    <w:rsid w:val="1F092009"/>
    <w:rsid w:val="1F195B1A"/>
    <w:rsid w:val="1F282FBC"/>
    <w:rsid w:val="1F765F60"/>
    <w:rsid w:val="1F896AA9"/>
    <w:rsid w:val="1FAB6CE1"/>
    <w:rsid w:val="1FC50E51"/>
    <w:rsid w:val="208D27CD"/>
    <w:rsid w:val="20915419"/>
    <w:rsid w:val="20A025BE"/>
    <w:rsid w:val="20AB6B4D"/>
    <w:rsid w:val="21BB2D5A"/>
    <w:rsid w:val="21C81B2A"/>
    <w:rsid w:val="222B4109"/>
    <w:rsid w:val="23977CA8"/>
    <w:rsid w:val="23B048C6"/>
    <w:rsid w:val="23D54ECD"/>
    <w:rsid w:val="241E632D"/>
    <w:rsid w:val="244A5D5B"/>
    <w:rsid w:val="244B0A92"/>
    <w:rsid w:val="24942439"/>
    <w:rsid w:val="249D12EE"/>
    <w:rsid w:val="24D46A8A"/>
    <w:rsid w:val="25134899"/>
    <w:rsid w:val="25812575"/>
    <w:rsid w:val="25A91B29"/>
    <w:rsid w:val="25D076AC"/>
    <w:rsid w:val="26192BF6"/>
    <w:rsid w:val="26920CF9"/>
    <w:rsid w:val="26964247"/>
    <w:rsid w:val="26FE4C98"/>
    <w:rsid w:val="27614D2B"/>
    <w:rsid w:val="283567C7"/>
    <w:rsid w:val="2900354B"/>
    <w:rsid w:val="293C3C55"/>
    <w:rsid w:val="296F4E72"/>
    <w:rsid w:val="2979067D"/>
    <w:rsid w:val="29870887"/>
    <w:rsid w:val="29A273A6"/>
    <w:rsid w:val="29BD0A90"/>
    <w:rsid w:val="29E90B31"/>
    <w:rsid w:val="29ED7ECF"/>
    <w:rsid w:val="29F4303F"/>
    <w:rsid w:val="2B4472E1"/>
    <w:rsid w:val="2BAB6CDC"/>
    <w:rsid w:val="2BB876EE"/>
    <w:rsid w:val="2BD33847"/>
    <w:rsid w:val="2CA21B8A"/>
    <w:rsid w:val="2CE74F0B"/>
    <w:rsid w:val="2D164597"/>
    <w:rsid w:val="2D7C55F3"/>
    <w:rsid w:val="2D807968"/>
    <w:rsid w:val="2DCF4F36"/>
    <w:rsid w:val="2E050B13"/>
    <w:rsid w:val="2E377F5E"/>
    <w:rsid w:val="2EC935DF"/>
    <w:rsid w:val="2F4B4131"/>
    <w:rsid w:val="2F8E4C55"/>
    <w:rsid w:val="2F9F50DC"/>
    <w:rsid w:val="30000983"/>
    <w:rsid w:val="30657369"/>
    <w:rsid w:val="30D00355"/>
    <w:rsid w:val="30E91674"/>
    <w:rsid w:val="312D76CA"/>
    <w:rsid w:val="316F6600"/>
    <w:rsid w:val="31CE673C"/>
    <w:rsid w:val="320F55AC"/>
    <w:rsid w:val="321F31FC"/>
    <w:rsid w:val="32402C9D"/>
    <w:rsid w:val="328E671A"/>
    <w:rsid w:val="338D3124"/>
    <w:rsid w:val="340D23F8"/>
    <w:rsid w:val="342E1F62"/>
    <w:rsid w:val="34383E74"/>
    <w:rsid w:val="3494459C"/>
    <w:rsid w:val="34BC1DB9"/>
    <w:rsid w:val="35335357"/>
    <w:rsid w:val="353D2096"/>
    <w:rsid w:val="35647C06"/>
    <w:rsid w:val="35670F33"/>
    <w:rsid w:val="35AA293D"/>
    <w:rsid w:val="35B71320"/>
    <w:rsid w:val="35F4207C"/>
    <w:rsid w:val="36B3674F"/>
    <w:rsid w:val="36BD75CE"/>
    <w:rsid w:val="370A6A1F"/>
    <w:rsid w:val="378457D0"/>
    <w:rsid w:val="378567EB"/>
    <w:rsid w:val="38FF333C"/>
    <w:rsid w:val="391B4F83"/>
    <w:rsid w:val="3A2D4229"/>
    <w:rsid w:val="3A3C733D"/>
    <w:rsid w:val="3A987FA6"/>
    <w:rsid w:val="3B2A2AEC"/>
    <w:rsid w:val="3B3F2CA7"/>
    <w:rsid w:val="3C4A24DF"/>
    <w:rsid w:val="3C676A8B"/>
    <w:rsid w:val="3C861781"/>
    <w:rsid w:val="3CB155B4"/>
    <w:rsid w:val="3CD3693D"/>
    <w:rsid w:val="3D777E8C"/>
    <w:rsid w:val="3E0E3C48"/>
    <w:rsid w:val="3E677D82"/>
    <w:rsid w:val="3E9C3F6D"/>
    <w:rsid w:val="3EDB4CE7"/>
    <w:rsid w:val="3F0531EE"/>
    <w:rsid w:val="3F0872D3"/>
    <w:rsid w:val="3F404DB7"/>
    <w:rsid w:val="3F422D66"/>
    <w:rsid w:val="3F7B2005"/>
    <w:rsid w:val="3F8C2233"/>
    <w:rsid w:val="3FAC4683"/>
    <w:rsid w:val="40026051"/>
    <w:rsid w:val="40A4535A"/>
    <w:rsid w:val="40C3740F"/>
    <w:rsid w:val="41262E23"/>
    <w:rsid w:val="41E87257"/>
    <w:rsid w:val="424B3DD2"/>
    <w:rsid w:val="42657E67"/>
    <w:rsid w:val="42942ED6"/>
    <w:rsid w:val="4415204A"/>
    <w:rsid w:val="445350CD"/>
    <w:rsid w:val="447651C4"/>
    <w:rsid w:val="449F2E0C"/>
    <w:rsid w:val="450A31B4"/>
    <w:rsid w:val="45123BD8"/>
    <w:rsid w:val="45AE2271"/>
    <w:rsid w:val="46162B7C"/>
    <w:rsid w:val="468C2B19"/>
    <w:rsid w:val="468C48C7"/>
    <w:rsid w:val="46D52748"/>
    <w:rsid w:val="47044DA5"/>
    <w:rsid w:val="474403D0"/>
    <w:rsid w:val="475B44CB"/>
    <w:rsid w:val="47874932"/>
    <w:rsid w:val="479C092F"/>
    <w:rsid w:val="47D076E2"/>
    <w:rsid w:val="48270247"/>
    <w:rsid w:val="48DE483E"/>
    <w:rsid w:val="49172B6D"/>
    <w:rsid w:val="494F7A86"/>
    <w:rsid w:val="49BB037D"/>
    <w:rsid w:val="49D61BC9"/>
    <w:rsid w:val="4AB32D6A"/>
    <w:rsid w:val="4B143B2C"/>
    <w:rsid w:val="4B4A7D1A"/>
    <w:rsid w:val="4B976035"/>
    <w:rsid w:val="4BEC1C14"/>
    <w:rsid w:val="4C7121E6"/>
    <w:rsid w:val="4C7B3413"/>
    <w:rsid w:val="4CB86977"/>
    <w:rsid w:val="4CCD080C"/>
    <w:rsid w:val="4D61529C"/>
    <w:rsid w:val="4DD9434D"/>
    <w:rsid w:val="4DDF1AAA"/>
    <w:rsid w:val="4E105DDD"/>
    <w:rsid w:val="4F6937D1"/>
    <w:rsid w:val="50563E5D"/>
    <w:rsid w:val="5068416B"/>
    <w:rsid w:val="50887166"/>
    <w:rsid w:val="51376CD9"/>
    <w:rsid w:val="525D38C4"/>
    <w:rsid w:val="52E02222"/>
    <w:rsid w:val="52E36157"/>
    <w:rsid w:val="53680C7C"/>
    <w:rsid w:val="53882A1B"/>
    <w:rsid w:val="53C61A0F"/>
    <w:rsid w:val="53CB7F0E"/>
    <w:rsid w:val="54177EC5"/>
    <w:rsid w:val="542D76E9"/>
    <w:rsid w:val="543A1E06"/>
    <w:rsid w:val="561F6FB2"/>
    <w:rsid w:val="5693461B"/>
    <w:rsid w:val="577064C8"/>
    <w:rsid w:val="577C0690"/>
    <w:rsid w:val="57B97EDC"/>
    <w:rsid w:val="57DB3AE0"/>
    <w:rsid w:val="5801574E"/>
    <w:rsid w:val="58381ECA"/>
    <w:rsid w:val="58417C07"/>
    <w:rsid w:val="58567A4A"/>
    <w:rsid w:val="587A1231"/>
    <w:rsid w:val="589E19F4"/>
    <w:rsid w:val="58B71C77"/>
    <w:rsid w:val="592E6AC0"/>
    <w:rsid w:val="59A9037F"/>
    <w:rsid w:val="59B87950"/>
    <w:rsid w:val="5A2E66EC"/>
    <w:rsid w:val="5A64198B"/>
    <w:rsid w:val="5A743647"/>
    <w:rsid w:val="5A9D3FA1"/>
    <w:rsid w:val="5AF00EE3"/>
    <w:rsid w:val="5B4A17CB"/>
    <w:rsid w:val="5BBA2302"/>
    <w:rsid w:val="5BD03449"/>
    <w:rsid w:val="5BD80C3B"/>
    <w:rsid w:val="5C0A4801"/>
    <w:rsid w:val="5C313978"/>
    <w:rsid w:val="5CF63773"/>
    <w:rsid w:val="5D361B0B"/>
    <w:rsid w:val="5D8738F8"/>
    <w:rsid w:val="5DC50B0A"/>
    <w:rsid w:val="5E5534AE"/>
    <w:rsid w:val="5E710526"/>
    <w:rsid w:val="5ED60DA1"/>
    <w:rsid w:val="5F481BC0"/>
    <w:rsid w:val="5FA168CF"/>
    <w:rsid w:val="5FD45D16"/>
    <w:rsid w:val="604B217D"/>
    <w:rsid w:val="60904B21"/>
    <w:rsid w:val="60F54877"/>
    <w:rsid w:val="60FF5A53"/>
    <w:rsid w:val="612260FC"/>
    <w:rsid w:val="61365690"/>
    <w:rsid w:val="617B3BD2"/>
    <w:rsid w:val="61ED464F"/>
    <w:rsid w:val="62850B34"/>
    <w:rsid w:val="62BB5FEE"/>
    <w:rsid w:val="631A16C3"/>
    <w:rsid w:val="632B78FF"/>
    <w:rsid w:val="63366248"/>
    <w:rsid w:val="639B0124"/>
    <w:rsid w:val="63BE2D67"/>
    <w:rsid w:val="63CA0FE9"/>
    <w:rsid w:val="63ED1601"/>
    <w:rsid w:val="6417181C"/>
    <w:rsid w:val="644E2B7B"/>
    <w:rsid w:val="645C7B76"/>
    <w:rsid w:val="645D4770"/>
    <w:rsid w:val="646C19F5"/>
    <w:rsid w:val="64C40270"/>
    <w:rsid w:val="65191F58"/>
    <w:rsid w:val="653515E9"/>
    <w:rsid w:val="65E130AB"/>
    <w:rsid w:val="65E15FEB"/>
    <w:rsid w:val="66605802"/>
    <w:rsid w:val="66A77852"/>
    <w:rsid w:val="66EB7882"/>
    <w:rsid w:val="67092773"/>
    <w:rsid w:val="67E4235D"/>
    <w:rsid w:val="67F04061"/>
    <w:rsid w:val="67F04FCC"/>
    <w:rsid w:val="680E73DA"/>
    <w:rsid w:val="68324E76"/>
    <w:rsid w:val="68493D1D"/>
    <w:rsid w:val="688879CF"/>
    <w:rsid w:val="688A6251"/>
    <w:rsid w:val="68F7448B"/>
    <w:rsid w:val="69250750"/>
    <w:rsid w:val="694C5701"/>
    <w:rsid w:val="695F7B59"/>
    <w:rsid w:val="69894F6A"/>
    <w:rsid w:val="69F27159"/>
    <w:rsid w:val="6A071F65"/>
    <w:rsid w:val="6A1A02B8"/>
    <w:rsid w:val="6A2F7CA9"/>
    <w:rsid w:val="6A97753A"/>
    <w:rsid w:val="6B3727A3"/>
    <w:rsid w:val="6BCE7DE7"/>
    <w:rsid w:val="6BD37DB0"/>
    <w:rsid w:val="6C3D203B"/>
    <w:rsid w:val="6C8C0FF3"/>
    <w:rsid w:val="6CAE5202"/>
    <w:rsid w:val="6CBE2856"/>
    <w:rsid w:val="6CDB1EFD"/>
    <w:rsid w:val="6D22283F"/>
    <w:rsid w:val="6E0D5229"/>
    <w:rsid w:val="6EE844E0"/>
    <w:rsid w:val="6F2C2162"/>
    <w:rsid w:val="6F2D5976"/>
    <w:rsid w:val="6F6B7429"/>
    <w:rsid w:val="6FD73E1E"/>
    <w:rsid w:val="6FFB272C"/>
    <w:rsid w:val="711F4406"/>
    <w:rsid w:val="71523990"/>
    <w:rsid w:val="71A566B9"/>
    <w:rsid w:val="72180047"/>
    <w:rsid w:val="729107C9"/>
    <w:rsid w:val="7298619B"/>
    <w:rsid w:val="72C72545"/>
    <w:rsid w:val="73027B3B"/>
    <w:rsid w:val="73344677"/>
    <w:rsid w:val="73AA4775"/>
    <w:rsid w:val="73F751C6"/>
    <w:rsid w:val="755B24D9"/>
    <w:rsid w:val="761272C4"/>
    <w:rsid w:val="76173157"/>
    <w:rsid w:val="76596D60"/>
    <w:rsid w:val="76DF5D07"/>
    <w:rsid w:val="770423C6"/>
    <w:rsid w:val="775C1F10"/>
    <w:rsid w:val="7768203E"/>
    <w:rsid w:val="7787740E"/>
    <w:rsid w:val="78545B4C"/>
    <w:rsid w:val="79295E21"/>
    <w:rsid w:val="796E179A"/>
    <w:rsid w:val="79DD09BA"/>
    <w:rsid w:val="7A720361"/>
    <w:rsid w:val="7BD5390A"/>
    <w:rsid w:val="7BD867CC"/>
    <w:rsid w:val="7C5F6AEC"/>
    <w:rsid w:val="7D396BBC"/>
    <w:rsid w:val="7D616979"/>
    <w:rsid w:val="7E2073BD"/>
    <w:rsid w:val="7EDE320A"/>
    <w:rsid w:val="7F0F2422"/>
    <w:rsid w:val="7F1255AA"/>
    <w:rsid w:val="7F2A0B2B"/>
    <w:rsid w:val="7FE455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unhideWhenUsed/>
    <w:qFormat/>
    <w:uiPriority w:val="0"/>
    <w:pPr>
      <w:wordWrap w:val="0"/>
      <w:spacing w:after="160"/>
      <w:outlineLvl w:val="1"/>
    </w:p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eastAsia="仿宋_GB2312" w:cs="Courier New"/>
      <w:sz w:val="32"/>
      <w:szCs w:val="21"/>
    </w:rPr>
  </w:style>
  <w:style w:type="paragraph" w:styleId="4">
    <w:name w:val="Normal Indent"/>
    <w:basedOn w:val="1"/>
    <w:next w:val="1"/>
    <w:qFormat/>
    <w:uiPriority w:val="0"/>
    <w:pPr>
      <w:ind w:firstLine="200"/>
    </w:pPr>
  </w:style>
  <w:style w:type="paragraph" w:styleId="5">
    <w:name w:val="Body Text Indent"/>
    <w:basedOn w:val="1"/>
    <w:qFormat/>
    <w:uiPriority w:val="0"/>
    <w:pPr>
      <w:spacing w:after="120" w:afterLines="0" w:afterAutospacing="0"/>
      <w:ind w:left="420" w:leftChars="20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9">
    <w:name w:val="Body Text First Indent 2"/>
    <w:basedOn w:val="5"/>
    <w:next w:val="1"/>
    <w:qFormat/>
    <w:uiPriority w:val="0"/>
    <w:pPr>
      <w:ind w:left="0" w:firstLine="420" w:firstLineChars="200"/>
    </w:pPr>
  </w:style>
  <w:style w:type="character" w:customStyle="1" w:styleId="12">
    <w:name w:val="NormalCharacter"/>
    <w:link w:val="13"/>
    <w:semiHidden/>
    <w:qFormat/>
    <w:uiPriority w:val="99"/>
    <w:rPr>
      <w:rFonts w:ascii="Times New Roman" w:hAnsi="Times New Roman" w:eastAsia="宋体" w:cs="Times New Roman"/>
      <w:kern w:val="2"/>
      <w:sz w:val="21"/>
      <w:szCs w:val="24"/>
      <w:lang w:val="en-US" w:eastAsia="zh-CN" w:bidi="ar-SA"/>
    </w:rPr>
  </w:style>
  <w:style w:type="paragraph" w:customStyle="1" w:styleId="13">
    <w:name w:val="UserStyle_1"/>
    <w:link w:val="12"/>
    <w:qFormat/>
    <w:uiPriority w:val="0"/>
    <w:pPr>
      <w:widowControl/>
      <w:spacing w:after="160" w:line="240" w:lineRule="exact"/>
      <w:jc w:val="left"/>
      <w:textAlignment w:val="baseline"/>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10655</Words>
  <Characters>11165</Characters>
  <Lines>0</Lines>
  <Paragraphs>0</Paragraphs>
  <TotalTime>10</TotalTime>
  <ScaleCrop>false</ScaleCrop>
  <LinksUpToDate>false</LinksUpToDate>
  <CharactersWithSpaces>11216</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2024-11-21T07:29:00Z</dcterms:created>
  <dc:creator>┈┾⒐④傻℅（邱小洁）</dc:creator>
  <cp:lastModifiedBy>缘来如此</cp:lastModifiedBy>
  <cp:lastPrinted>2024-12-30T07:33:00Z</cp:lastPrinted>
  <dcterms:modified xsi:type="dcterms:W3CDTF">2025-10-21T09:56:45Z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6663531D5A40435D8F815C879F3B28CC_13</vt:lpwstr>
  </property>
  <property fmtid="{D5CDD505-2E9C-101B-9397-08002B2CF9AE}" pid="4" name="KSOTemplateDocerSaveRecord">
    <vt:lpwstr>eyJoZGlkIjoiZjE0MjZhZjVhYzYzMzAzMDU0YzY2NDc1YmExOTI5YjIiLCJ1c2VySWQiOiI3MDA1NDk2MzMifQ==</vt:lpwstr>
  </property>
</Properties>
</file>