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赣州市</w:t>
      </w:r>
      <w:r>
        <w:rPr>
          <w:rFonts w:hint="eastAsia" w:ascii="方正小标宋简体" w:hAnsi="方正小标宋简体" w:eastAsia="方正小标宋简体" w:cs="方正小标宋简体"/>
          <w:sz w:val="44"/>
          <w:szCs w:val="44"/>
          <w:highlight w:val="none"/>
          <w:u w:val="none"/>
          <w:lang w:val="en-US" w:eastAsia="zh-CN"/>
        </w:rPr>
        <w:t>大余</w:t>
      </w:r>
      <w:r>
        <w:rPr>
          <w:rFonts w:hint="eastAsia" w:ascii="方正小标宋简体" w:hAnsi="方正小标宋简体" w:eastAsia="方正小标宋简体" w:cs="方正小标宋简体"/>
          <w:sz w:val="44"/>
          <w:szCs w:val="44"/>
          <w:lang w:val="en-US" w:eastAsia="zh-CN"/>
        </w:rPr>
        <w:t>县</w:t>
      </w:r>
      <w:r>
        <w:rPr>
          <w:rFonts w:hint="eastAsia" w:ascii="方正小标宋简体" w:hAnsi="方正小标宋简体" w:eastAsia="方正小标宋简体" w:cs="方正小标宋简体"/>
          <w:sz w:val="44"/>
          <w:szCs w:val="44"/>
          <w:lang w:eastAsia="zh-CN"/>
        </w:rPr>
        <w:t>分散供养特困人员</w:t>
      </w:r>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委托照料护理协议</w:t>
      </w:r>
    </w:p>
    <w:p>
      <w:pPr>
        <w:rPr>
          <w:rFonts w:hint="eastAsia" w:ascii="楷体_GB2312" w:hAnsi="楷体_GB2312" w:eastAsia="楷体_GB2312" w:cs="楷体_GB2312"/>
          <w:sz w:val="32"/>
          <w:szCs w:val="32"/>
          <w:lang w:val="en-US" w:eastAsia="zh-CN"/>
        </w:rPr>
      </w:pPr>
      <w:r>
        <w:rPr>
          <w:rFonts w:hint="eastAsia"/>
          <w:sz w:val="32"/>
          <w:szCs w:val="32"/>
          <w:lang w:val="en-US" w:eastAsia="zh-CN"/>
        </w:rPr>
        <w:t xml:space="preserve">                    </w:t>
      </w:r>
      <w:r>
        <w:rPr>
          <w:rFonts w:hint="eastAsia" w:ascii="楷体_GB2312" w:hAnsi="楷体_GB2312" w:eastAsia="楷体_GB2312" w:cs="楷体_GB2312"/>
          <w:sz w:val="32"/>
          <w:szCs w:val="32"/>
          <w:lang w:val="en-US" w:eastAsia="zh-CN"/>
        </w:rPr>
        <w:t>（参考样式）</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甲方：乡镇人民政府（街道办事处）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乙方：（特困人员）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丙方：（照料护理人）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丁方：村（居）民委员会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highlight w:val="none"/>
          <w:lang w:val="en-US" w:eastAsia="zh-CN"/>
        </w:rPr>
        <w:t>大余县</w:t>
      </w:r>
      <w:r>
        <w:rPr>
          <w:rFonts w:hint="eastAsia" w:ascii="仿宋_GB2312" w:hAnsi="仿宋_GB2312" w:eastAsia="仿宋_GB2312" w:cs="仿宋_GB2312"/>
          <w:sz w:val="32"/>
          <w:szCs w:val="32"/>
          <w:lang w:val="en-US" w:eastAsia="zh-CN"/>
        </w:rPr>
        <w:t>民政局审批，同意将乙方</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，性别</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，户籍地址 </w:t>
      </w:r>
      <w:r>
        <w:rPr>
          <w:rFonts w:hint="eastAsia" w:ascii="仿宋_GB2312" w:hAnsi="仿宋_GB2312" w:eastAsia="仿宋_GB2312" w:cs="仿宋_GB2312"/>
          <w:i w:val="0"/>
          <w:iCs w:val="0"/>
          <w:sz w:val="32"/>
          <w:szCs w:val="32"/>
          <w:u w:val="single"/>
          <w:lang w:val="en-US" w:eastAsia="zh-CN"/>
        </w:rPr>
        <w:t xml:space="preserve">                  </w:t>
      </w:r>
      <w:r>
        <w:rPr>
          <w:rFonts w:hint="eastAsia" w:ascii="仿宋_GB2312" w:hAnsi="仿宋_GB2312" w:eastAsia="仿宋_GB2312" w:cs="仿宋_GB2312"/>
          <w:sz w:val="32"/>
          <w:szCs w:val="32"/>
          <w:lang w:val="en-US" w:eastAsia="zh-CN"/>
        </w:rPr>
        <w:t>，纳入特困人员救助供养范围。根据《国务院关于进一步健全特困人员救助供养制度的意见》（国发〔2016〕14号）、《江西省人民政府关于进一步健全特困人员救助供养制度的实施意见》（赣府发〔2016〕42号）和《民政部关于加强分散供养特困人员照料服务的通知》（民发〔2019〕124号）、《江西省民政厅关于印发江西省分散供养特困人员照料服务指引的通知》（赣民发〔2020〕1号）等文件精神，为更好落实特困人员救助供养内容，维护特困人员的基本生活权益，甲方委托丙方，性别</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，住址</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，手机号码：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，社会保障卡号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，对其提供日常照料服务。经审核，乙方自理能力为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等级。为明确各自的权利和义务关系，保障协议各方合法权益，经协商达成如下协议：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一、甲方的权利和义务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全面落实特困人员救助供养政策内容，维护乙方的基本生活权益。按政策向乙方提供基本生活、照料服务、疾病治疗、住房保障、殡葬服务（未成年人的提供教育救助）等方面的保障，做到应救尽救，应养尽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（二）根据乙方申请</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可由亲人或村（居）民委员会代为申请</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，结合乙方身体状况及生活自理能力情况，组织人员对其生活自理能力进行等级评估，确定照料护理等级。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三）督促丙方照料服务责任的落实。甲方要制定对丙方照料护理情况的考核方案，定期考察丙方对协议内容的履行情况。对不按协议约定履行相关义务的，甲方可终止照料护理费的发放，由甲方另行委托他人或丁方、供养服务机构等继续负责提供照料护理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（四）乙方离世后，甲方负责提供殡葬服务。可委托丙方或丁方办理丧葬事宜，丧葬费用按照特困人员救助供养政策执行。</w:t>
      </w:r>
    </w:p>
    <w:p>
      <w:pPr>
        <w:pStyle w:val="2"/>
        <w:rPr>
          <w:rFonts w:hint="eastAsia"/>
          <w:lang w:val="en-US" w:eastAsia="zh-CN"/>
        </w:rPr>
      </w:pPr>
      <w:r>
        <w:rPr>
          <w:rFonts w:hint="eastAsia" w:ascii="仿宋_GB2312" w:hAnsi="仿宋_GB2312" w:eastAsia="仿宋_GB2312" w:cs="仿宋_GB2312"/>
          <w:sz w:val="32"/>
          <w:szCs w:val="32"/>
          <w:highlight w:val="none"/>
          <w:lang w:val="en-US" w:eastAsia="zh-CN"/>
        </w:rPr>
        <w:t>（五）与丁方开展定期探视巡访服务工作并做好相关记录，动态掌握乙方健康状况、精神状态和基本生活保障情况等。</w:t>
      </w:r>
      <w:r>
        <w:rPr>
          <w:rFonts w:hint="eastAsia" w:ascii="仿宋_GB2312" w:hAnsi="仿宋_GB2312" w:eastAsia="仿宋_GB2312" w:cs="仿宋_GB2312"/>
          <w:b w:val="0"/>
          <w:bCs w:val="0"/>
          <w:sz w:val="32"/>
          <w:szCs w:val="32"/>
          <w:highlight w:val="none"/>
          <w:lang w:val="en-US" w:eastAsia="zh-CN"/>
        </w:rPr>
        <w:t>对半失能的，每半月一次或按需多次进行上</w:t>
      </w:r>
      <w:r>
        <w:rPr>
          <w:rFonts w:hint="eastAsia" w:ascii="仿宋_GB2312" w:hAnsi="仿宋_GB2312" w:eastAsia="仿宋_GB2312" w:cs="仿宋_GB2312"/>
          <w:sz w:val="32"/>
          <w:szCs w:val="32"/>
          <w:highlight w:val="none"/>
          <w:lang w:val="en-US" w:eastAsia="zh-CN"/>
        </w:rPr>
        <w:t>门巡访；对全自理标准的，每月不少于一次见面探视巡访</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二、乙方的权利和义务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（一）自觉遵守党和国家的有关法律法规，服从当地村（居）民委员会的管理，遵守村规民约。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（二）有权要求甲方根据特困人员救助供养政策落实相应的救助供养内容。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（三）乙方自愿选择分散供养形式，并同意甲方委托丙方对其提供日常照料护理服务。当丙方未按协议履行照料护理服务时，乙方有权向甲方和丁方反应。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四）乙方承包的责任地可流转，其房屋、家具、交通工具、家禽家畜等财产处置，尊重乙方意愿，处置收益归乙方本人支配，任何单位或个人不得侵占。乙方去世后，其财产按其生前安排或按有关法律法规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（五）乙方有权自主选择供养形式。如乙方要求变更供养形式的须经甲方同意。供养形式发生变更后协议终止，另行签订相关协议并执行。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三、丙方的权利和义务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（一）丙方应熟知国家、省、市、县（区）的特困人员救助供养政策，协助甲方、丁方共同做好乙方的照料护理工作，并接受甲方的考核，根据考核结果按规定获取照料护理费。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（二）按照料护理等级提供日常照料服务。丙方应</w:t>
      </w:r>
      <w:r>
        <w:rPr>
          <w:rFonts w:hint="eastAsia" w:ascii="仿宋_GB2312" w:hAnsi="仿宋_GB2312" w:eastAsia="仿宋_GB2312" w:cs="仿宋_GB2312"/>
          <w:sz w:val="32"/>
          <w:szCs w:val="32"/>
          <w:highlight w:val="none"/>
          <w:shd w:val="clear" w:color="auto" w:fill="auto"/>
          <w:lang w:val="en-US" w:eastAsia="zh-CN"/>
        </w:rPr>
        <w:t>为</w:t>
      </w:r>
      <w:r>
        <w:rPr>
          <w:rFonts w:hint="eastAsia" w:ascii="仿宋_GB2312" w:hAnsi="仿宋_GB2312" w:eastAsia="仿宋_GB2312" w:cs="仿宋_GB2312"/>
          <w:sz w:val="32"/>
          <w:szCs w:val="32"/>
          <w:lang w:val="en-US" w:eastAsia="zh-CN"/>
        </w:rPr>
        <w:t>乙方提供一日三餐、服药、如厕、洗澡、翻身、衣被清洗、房屋打扫等日常照料服务</w:t>
      </w:r>
      <w:r>
        <w:rPr>
          <w:rFonts w:hint="eastAsia" w:ascii="仿宋_GB2312" w:hAnsi="仿宋_GB2312" w:eastAsia="仿宋_GB2312" w:cs="仿宋_GB2312"/>
          <w:b w:val="0"/>
          <w:bCs w:val="0"/>
          <w:color w:val="000000" w:themeColor="text1"/>
          <w:sz w:val="32"/>
          <w:szCs w:val="32"/>
          <w:highlight w:val="none"/>
          <w:shd w:val="clear" w:color="auto" w:fill="auto"/>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经乙方同意，丙方可代管乙方基本生活供养金，并承诺将供养资金全部用于乙方的基本生活支出，按日向乙方提供或告知生活支出情况。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三）提供入院陪护服务。当乙方感觉身体不适需到医院治疗的，丙方负责将乙方及时送往医院就医治疗，乙方住院期间，丙方应提供陪护，陪护确有困难的需报告甲方统筹安排陪护人员，乙方住院费用按照医保报销、医疗救助、特困人员救助等政策解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（四）丙方要自觉接受甲方和有关上级部门的监督、指导，提高自身照料护理服务质量。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（五）丙方及时向甲方、丁方报告乙方的身体状况和急需解决的困难。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（六）丙方不得有虐待、谩骂、殴打乙方等暴力行为的发生。一经发现，甲、乙、丁三方可随时终止协议，构成犯罪的，依法追究刑事责任。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（七）乙方病情危重或去世后，丙方及时通知甲方和丁方，安葬事宜由甲方负责协调，丙方和丁方协助处理。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四、照料护理等级的认定及护理费用的发放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（一）特困人员自理能力分为全护理标准、半自理标准、全自理标准三个等级。若乙方自理能力等级发生变化的，需向甲方申请重新认定，并按甲方新认定的自理能力等级签订护理协议。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2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完全丧失生活自理能力护理费用（即全护理）按照每月1200元标准执行；部分丧失生活自理能力护理费用（即半自理）按照每月300元标准执行；生活全自理护理费用按照每月70元标准执行。照料护理费用通过“一卡通”发放，全自理护理费用由乙方转付给丙方。</w:t>
      </w:r>
    </w:p>
    <w:p>
      <w:pPr>
        <w:numPr>
          <w:ilvl w:val="0"/>
          <w:numId w:val="0"/>
        </w:numPr>
        <w:spacing w:line="560" w:lineRule="exact"/>
        <w:ind w:firstLine="640" w:firstLineChars="200"/>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（三）甲方</w:t>
      </w:r>
      <w:bookmarkStart w:id="0" w:name="_GoBack"/>
      <w:bookmarkEnd w:id="0"/>
      <w:r>
        <w:rPr>
          <w:rFonts w:hint="eastAsia" w:ascii="仿宋_GB2312" w:hAnsi="仿宋_GB2312" w:eastAsia="仿宋_GB2312" w:cs="仿宋_GB2312"/>
          <w:sz w:val="32"/>
          <w:szCs w:val="32"/>
          <w:lang w:val="en-US" w:eastAsia="zh-CN"/>
        </w:rPr>
        <w:t>对丙方的考核结果是照料护理费用发放的依据。</w:t>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五、丁方的权利和义务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（一）协助甲方开展特困人员救助供养各项工作。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（二）协助甲方督促丙方按照本协议内容落实照料护理服务。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（三）协调办理乙方离世后的丧葬事宜。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六、其他需要补充的事项：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七、本协议未尽事宜，各方本着公平、公正，最大范围内保障乙方利益的原则，友好协商解决。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八、本协议一式五份，经甲、乙、丙、丁四方签字，盖章生效后，其中甲、乙、丙、丁四方各执一份，县（市、区）民政局留存一份。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甲方（盖章）：                    乙方（签字并印指纹）：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丙方（签字并印指纹）：            丁方（盖章）：</w:t>
      </w:r>
    </w:p>
    <w:p>
      <w:pPr>
        <w:numPr>
          <w:ilvl w:val="0"/>
          <w:numId w:val="0"/>
        </w:numPr>
        <w:ind w:firstLine="420"/>
        <w:jc w:val="center"/>
        <w:rPr>
          <w:rFonts w:hint="eastAsia" w:ascii="仿宋_GB2312" w:hAnsi="仿宋_GB2312" w:eastAsia="仿宋_GB2312" w:cs="仿宋_GB2312"/>
          <w:sz w:val="32"/>
          <w:szCs w:val="32"/>
          <w:lang w:val="en-US" w:eastAsia="zh-CN"/>
        </w:rPr>
      </w:pPr>
      <w:r>
        <w:rPr>
          <w:rFonts w:hint="eastAsia"/>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numPr>
          <w:ilvl w:val="0"/>
          <w:numId w:val="0"/>
        </w:numPr>
        <w:ind w:firstLine="420"/>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pStyle w:val="3"/>
        <w:keepNext w:val="0"/>
        <w:keepLines w:val="0"/>
        <w:pageBreakBefore w:val="0"/>
        <w:widowControl w:val="0"/>
        <w:kinsoku/>
        <w:wordWrap/>
        <w:overflowPunct w:val="0"/>
        <w:topLinePunct/>
        <w:autoSpaceDE w:val="0"/>
        <w:autoSpaceDN w:val="0"/>
        <w:bidi w:val="0"/>
        <w:adjustRightInd w:val="0"/>
        <w:snapToGrid/>
        <w:spacing w:beforeLines="0" w:afterLines="0" w:line="600" w:lineRule="exact"/>
        <w:ind w:left="0" w:leftChars="0" w:right="0" w:firstLine="0" w:firstLineChars="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w:t>
      </w:r>
      <w:r>
        <w:rPr>
          <w:rFonts w:hint="eastAsia" w:ascii="仿宋_GB2312" w:hAnsi="仿宋_GB2312" w:eastAsia="仿宋_GB2312" w:cs="仿宋_GB2312"/>
          <w:color w:val="auto"/>
          <w:sz w:val="32"/>
          <w:szCs w:val="32"/>
          <w:lang w:eastAsia="zh-CN"/>
        </w:rPr>
        <w:t>件</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p>
    <w:p>
      <w:pPr>
        <w:pStyle w:val="3"/>
        <w:keepNext w:val="0"/>
        <w:keepLines w:val="0"/>
        <w:pageBreakBefore w:val="0"/>
        <w:widowControl w:val="0"/>
        <w:kinsoku/>
        <w:wordWrap/>
        <w:overflowPunct w:val="0"/>
        <w:topLinePunct/>
        <w:autoSpaceDE w:val="0"/>
        <w:autoSpaceDN w:val="0"/>
        <w:bidi w:val="0"/>
        <w:adjustRightInd w:val="0"/>
        <w:snapToGrid/>
        <w:spacing w:beforeLines="0" w:afterLines="0" w:line="600" w:lineRule="exact"/>
        <w:ind w:right="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分散供养特困人员探</w:t>
      </w:r>
      <w:r>
        <w:rPr>
          <w:rFonts w:hint="eastAsia" w:ascii="方正小标宋简体" w:hAnsi="方正小标宋简体" w:eastAsia="方正小标宋简体" w:cs="方正小标宋简体"/>
          <w:color w:val="auto"/>
          <w:sz w:val="44"/>
          <w:szCs w:val="44"/>
          <w:lang w:eastAsia="zh-CN"/>
        </w:rPr>
        <w:t>视巡</w:t>
      </w:r>
      <w:r>
        <w:rPr>
          <w:rFonts w:hint="eastAsia" w:ascii="方正小标宋简体" w:hAnsi="方正小标宋简体" w:eastAsia="方正小标宋简体" w:cs="方正小标宋简体"/>
          <w:color w:val="auto"/>
          <w:sz w:val="44"/>
          <w:szCs w:val="44"/>
        </w:rPr>
        <w:t>访情况记录表</w:t>
      </w:r>
    </w:p>
    <w:p>
      <w:pPr>
        <w:pStyle w:val="3"/>
        <w:keepNext w:val="0"/>
        <w:keepLines w:val="0"/>
        <w:pageBreakBefore w:val="0"/>
        <w:widowControl w:val="0"/>
        <w:kinsoku/>
        <w:wordWrap/>
        <w:overflowPunct w:val="0"/>
        <w:topLinePunct/>
        <w:autoSpaceDE w:val="0"/>
        <w:autoSpaceDN w:val="0"/>
        <w:bidi w:val="0"/>
        <w:adjustRightInd w:val="0"/>
        <w:snapToGrid/>
        <w:spacing w:beforeLines="0" w:afterLines="0" w:line="600" w:lineRule="exact"/>
        <w:ind w:right="0"/>
        <w:jc w:val="center"/>
        <w:textAlignment w:val="auto"/>
        <w:rPr>
          <w:rFonts w:hint="eastAsia" w:ascii="方正小标宋简体" w:hAnsi="方正小标宋简体" w:eastAsia="方正小标宋简体" w:cs="方正小标宋简体"/>
          <w:color w:val="auto"/>
          <w:sz w:val="44"/>
          <w:szCs w:val="44"/>
        </w:rPr>
      </w:pPr>
      <w:r>
        <w:rPr>
          <w:rFonts w:hint="eastAsia"/>
          <w:sz w:val="32"/>
          <w:szCs w:val="32"/>
          <w:lang w:val="en-US" w:eastAsia="zh-CN"/>
        </w:rPr>
        <w:t>（参考样式）</w:t>
      </w:r>
    </w:p>
    <w:tbl>
      <w:tblPr>
        <w:tblStyle w:val="6"/>
        <w:tblpPr w:leftFromText="180" w:rightFromText="180" w:vertAnchor="text" w:horzAnchor="page" w:tblpXSpec="center" w:tblpY="206"/>
        <w:tblOverlap w:val="never"/>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725"/>
        <w:gridCol w:w="1200"/>
        <w:gridCol w:w="270"/>
        <w:gridCol w:w="455"/>
        <w:gridCol w:w="2000"/>
        <w:gridCol w:w="725"/>
        <w:gridCol w:w="970"/>
        <w:gridCol w:w="630"/>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935" w:type="dxa"/>
            <w:vAlign w:val="center"/>
          </w:tcPr>
          <w:p>
            <w:pPr>
              <w:pStyle w:val="3"/>
              <w:kinsoku w:val="0"/>
              <w:overflowPunct w:val="0"/>
              <w:spacing w:beforeLines="0" w:afterLines="0"/>
              <w:jc w:val="center"/>
              <w:rPr>
                <w:rFonts w:hint="default" w:ascii="Arial" w:hAnsi="Arial"/>
                <w:color w:val="auto"/>
                <w:sz w:val="24"/>
                <w:szCs w:val="24"/>
                <w:vertAlign w:val="baseline"/>
              </w:rPr>
            </w:pPr>
            <w:r>
              <w:rPr>
                <w:rFonts w:hint="eastAsia"/>
                <w:color w:val="auto"/>
                <w:sz w:val="24"/>
                <w:szCs w:val="24"/>
              </w:rPr>
              <w:t>探访人情况</w:t>
            </w:r>
          </w:p>
        </w:tc>
        <w:tc>
          <w:tcPr>
            <w:tcW w:w="725" w:type="dxa"/>
            <w:vAlign w:val="center"/>
          </w:tcPr>
          <w:p>
            <w:pPr>
              <w:pStyle w:val="3"/>
              <w:kinsoku w:val="0"/>
              <w:overflowPunct w:val="0"/>
              <w:spacing w:beforeLines="0" w:afterLines="0"/>
              <w:jc w:val="center"/>
              <w:rPr>
                <w:rFonts w:hint="default" w:ascii="Arial" w:hAnsi="Arial"/>
                <w:color w:val="auto"/>
                <w:sz w:val="24"/>
                <w:szCs w:val="24"/>
                <w:vertAlign w:val="baseline"/>
              </w:rPr>
            </w:pPr>
            <w:r>
              <w:rPr>
                <w:rFonts w:hint="eastAsia"/>
                <w:color w:val="auto"/>
                <w:sz w:val="24"/>
                <w:szCs w:val="24"/>
              </w:rPr>
              <w:t>单位</w:t>
            </w:r>
          </w:p>
        </w:tc>
        <w:tc>
          <w:tcPr>
            <w:tcW w:w="120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725" w:type="dxa"/>
            <w:gridSpan w:val="2"/>
            <w:vAlign w:val="center"/>
          </w:tcPr>
          <w:p>
            <w:pPr>
              <w:pStyle w:val="3"/>
              <w:kinsoku w:val="0"/>
              <w:overflowPunct w:val="0"/>
              <w:spacing w:beforeLines="0" w:afterLines="0"/>
              <w:jc w:val="center"/>
              <w:rPr>
                <w:rFonts w:hint="default" w:ascii="Arial" w:hAnsi="Arial"/>
                <w:color w:val="auto"/>
                <w:sz w:val="24"/>
                <w:szCs w:val="24"/>
                <w:vertAlign w:val="baseline"/>
              </w:rPr>
            </w:pPr>
            <w:r>
              <w:rPr>
                <w:rFonts w:hint="eastAsia"/>
                <w:color w:val="auto"/>
                <w:sz w:val="24"/>
                <w:szCs w:val="24"/>
              </w:rPr>
              <w:t>姓名</w:t>
            </w:r>
          </w:p>
        </w:tc>
        <w:tc>
          <w:tcPr>
            <w:tcW w:w="200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725" w:type="dxa"/>
            <w:vAlign w:val="center"/>
          </w:tcPr>
          <w:p>
            <w:pPr>
              <w:pStyle w:val="3"/>
              <w:kinsoku w:val="0"/>
              <w:overflowPunct w:val="0"/>
              <w:spacing w:beforeLines="0" w:afterLines="0"/>
              <w:jc w:val="center"/>
              <w:rPr>
                <w:rFonts w:hint="default" w:ascii="Arial" w:hAnsi="Arial"/>
                <w:color w:val="auto"/>
                <w:sz w:val="24"/>
                <w:szCs w:val="24"/>
                <w:vertAlign w:val="baseline"/>
              </w:rPr>
            </w:pPr>
            <w:r>
              <w:rPr>
                <w:rFonts w:hint="eastAsia"/>
                <w:color w:val="auto"/>
                <w:w w:val="95"/>
                <w:position w:val="1"/>
                <w:sz w:val="24"/>
                <w:szCs w:val="24"/>
              </w:rPr>
              <w:t>联系</w:t>
            </w:r>
            <w:r>
              <w:rPr>
                <w:rFonts w:hint="eastAsia"/>
                <w:color w:val="auto"/>
                <w:position w:val="1"/>
                <w:sz w:val="24"/>
                <w:szCs w:val="24"/>
              </w:rPr>
              <w:t>电话</w:t>
            </w:r>
          </w:p>
        </w:tc>
        <w:tc>
          <w:tcPr>
            <w:tcW w:w="97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630" w:type="dxa"/>
            <w:vAlign w:val="center"/>
          </w:tcPr>
          <w:p>
            <w:pPr>
              <w:pStyle w:val="3"/>
              <w:kinsoku w:val="0"/>
              <w:overflowPunct w:val="0"/>
              <w:spacing w:beforeLines="0" w:afterLines="0"/>
              <w:jc w:val="center"/>
              <w:rPr>
                <w:rFonts w:hint="default" w:ascii="Arial" w:hAnsi="Arial"/>
                <w:color w:val="auto"/>
                <w:sz w:val="24"/>
                <w:szCs w:val="24"/>
                <w:vertAlign w:val="baseline"/>
              </w:rPr>
            </w:pPr>
            <w:r>
              <w:rPr>
                <w:rFonts w:hint="eastAsia"/>
                <w:color w:val="auto"/>
                <w:sz w:val="24"/>
                <w:szCs w:val="24"/>
              </w:rPr>
              <w:t>职务</w:t>
            </w:r>
          </w:p>
        </w:tc>
        <w:tc>
          <w:tcPr>
            <w:tcW w:w="1148" w:type="dxa"/>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935" w:type="dxa"/>
            <w:vAlign w:val="center"/>
          </w:tcPr>
          <w:p>
            <w:pPr>
              <w:pStyle w:val="3"/>
              <w:kinsoku w:val="0"/>
              <w:overflowPunct w:val="0"/>
              <w:spacing w:beforeLines="0" w:afterLines="0"/>
              <w:jc w:val="center"/>
              <w:rPr>
                <w:rFonts w:hint="eastAsia" w:ascii="Arial" w:hAnsi="Arial" w:eastAsia="宋体"/>
                <w:color w:val="auto"/>
                <w:sz w:val="24"/>
                <w:szCs w:val="24"/>
                <w:vertAlign w:val="baseline"/>
                <w:lang w:eastAsia="zh-CN"/>
              </w:rPr>
            </w:pPr>
            <w:r>
              <w:rPr>
                <w:rFonts w:hint="eastAsia" w:ascii="Arial" w:hAnsi="Arial"/>
                <w:color w:val="auto"/>
                <w:sz w:val="24"/>
                <w:szCs w:val="24"/>
                <w:vertAlign w:val="baseline"/>
                <w:lang w:eastAsia="zh-CN"/>
              </w:rPr>
              <w:t>服务对象情况</w:t>
            </w:r>
          </w:p>
        </w:tc>
        <w:tc>
          <w:tcPr>
            <w:tcW w:w="725" w:type="dxa"/>
            <w:vAlign w:val="center"/>
          </w:tcPr>
          <w:p>
            <w:pPr>
              <w:pStyle w:val="3"/>
              <w:kinsoku w:val="0"/>
              <w:overflowPunct w:val="0"/>
              <w:spacing w:beforeLines="0" w:afterLines="0"/>
              <w:jc w:val="center"/>
              <w:rPr>
                <w:rFonts w:hint="eastAsia" w:ascii="Arial" w:hAnsi="Arial" w:eastAsia="宋体"/>
                <w:color w:val="auto"/>
                <w:sz w:val="24"/>
                <w:szCs w:val="24"/>
                <w:vertAlign w:val="baseline"/>
                <w:lang w:eastAsia="zh-CN"/>
              </w:rPr>
            </w:pPr>
            <w:r>
              <w:rPr>
                <w:rFonts w:hint="eastAsia" w:ascii="Arial" w:hAnsi="Arial"/>
                <w:color w:val="auto"/>
                <w:sz w:val="24"/>
                <w:szCs w:val="24"/>
                <w:vertAlign w:val="baseline"/>
                <w:lang w:eastAsia="zh-CN"/>
              </w:rPr>
              <w:t>姓名</w:t>
            </w:r>
          </w:p>
        </w:tc>
        <w:tc>
          <w:tcPr>
            <w:tcW w:w="120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725" w:type="dxa"/>
            <w:gridSpan w:val="2"/>
            <w:vAlign w:val="center"/>
          </w:tcPr>
          <w:p>
            <w:pPr>
              <w:pStyle w:val="3"/>
              <w:kinsoku w:val="0"/>
              <w:overflowPunct w:val="0"/>
              <w:spacing w:beforeLines="0" w:afterLines="0"/>
              <w:jc w:val="center"/>
              <w:rPr>
                <w:rFonts w:hint="eastAsia" w:ascii="Arial" w:hAnsi="Arial" w:eastAsia="宋体"/>
                <w:color w:val="auto"/>
                <w:sz w:val="24"/>
                <w:szCs w:val="24"/>
                <w:vertAlign w:val="baseline"/>
                <w:lang w:eastAsia="zh-CN"/>
              </w:rPr>
            </w:pPr>
            <w:r>
              <w:rPr>
                <w:rFonts w:hint="eastAsia" w:ascii="Arial" w:hAnsi="Arial"/>
                <w:color w:val="auto"/>
                <w:sz w:val="24"/>
                <w:szCs w:val="24"/>
                <w:vertAlign w:val="baseline"/>
                <w:lang w:eastAsia="zh-CN"/>
              </w:rPr>
              <w:t>性别</w:t>
            </w:r>
          </w:p>
        </w:tc>
        <w:tc>
          <w:tcPr>
            <w:tcW w:w="200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725" w:type="dxa"/>
            <w:vAlign w:val="center"/>
          </w:tcPr>
          <w:p>
            <w:pPr>
              <w:pStyle w:val="3"/>
              <w:kinsoku w:val="0"/>
              <w:overflowPunct w:val="0"/>
              <w:spacing w:beforeLines="0" w:afterLines="0"/>
              <w:jc w:val="center"/>
              <w:rPr>
                <w:rFonts w:hint="eastAsia" w:ascii="Arial" w:hAnsi="Arial" w:eastAsia="宋体"/>
                <w:color w:val="auto"/>
                <w:sz w:val="24"/>
                <w:szCs w:val="24"/>
                <w:vertAlign w:val="baseline"/>
                <w:lang w:eastAsia="zh-CN"/>
              </w:rPr>
            </w:pPr>
            <w:r>
              <w:rPr>
                <w:rFonts w:hint="eastAsia" w:ascii="Arial" w:hAnsi="Arial"/>
                <w:color w:val="auto"/>
                <w:sz w:val="24"/>
                <w:szCs w:val="24"/>
                <w:vertAlign w:val="baseline"/>
                <w:lang w:eastAsia="zh-CN"/>
              </w:rPr>
              <w:t>年龄</w:t>
            </w:r>
          </w:p>
        </w:tc>
        <w:tc>
          <w:tcPr>
            <w:tcW w:w="970" w:type="dxa"/>
            <w:vAlign w:val="center"/>
          </w:tcPr>
          <w:p>
            <w:pPr>
              <w:pStyle w:val="3"/>
              <w:kinsoku w:val="0"/>
              <w:overflowPunct w:val="0"/>
              <w:spacing w:beforeLines="0" w:afterLines="0"/>
              <w:jc w:val="center"/>
              <w:rPr>
                <w:rFonts w:hint="default" w:ascii="Arial" w:hAnsi="Arial"/>
                <w:color w:val="auto"/>
                <w:sz w:val="24"/>
                <w:szCs w:val="24"/>
                <w:vertAlign w:val="baseline"/>
              </w:rPr>
            </w:pPr>
          </w:p>
        </w:tc>
        <w:tc>
          <w:tcPr>
            <w:tcW w:w="630" w:type="dxa"/>
            <w:vAlign w:val="center"/>
          </w:tcPr>
          <w:p>
            <w:pPr>
              <w:pStyle w:val="3"/>
              <w:kinsoku w:val="0"/>
              <w:overflowPunct w:val="0"/>
              <w:spacing w:beforeLines="0" w:afterLines="0"/>
              <w:jc w:val="center"/>
              <w:rPr>
                <w:rFonts w:hint="eastAsia" w:ascii="Arial" w:hAnsi="Arial" w:eastAsia="宋体"/>
                <w:color w:val="auto"/>
                <w:sz w:val="24"/>
                <w:szCs w:val="24"/>
                <w:vertAlign w:val="baseline"/>
                <w:lang w:eastAsia="zh-CN"/>
              </w:rPr>
            </w:pPr>
            <w:r>
              <w:rPr>
                <w:rFonts w:hint="eastAsia" w:ascii="Arial" w:hAnsi="Arial"/>
                <w:color w:val="auto"/>
                <w:sz w:val="24"/>
                <w:szCs w:val="24"/>
                <w:vertAlign w:val="baseline"/>
                <w:lang w:eastAsia="zh-CN"/>
              </w:rPr>
              <w:t>地址</w:t>
            </w:r>
          </w:p>
        </w:tc>
        <w:tc>
          <w:tcPr>
            <w:tcW w:w="1148" w:type="dxa"/>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jc w:val="center"/>
        </w:trPr>
        <w:tc>
          <w:tcPr>
            <w:tcW w:w="935" w:type="dxa"/>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探访</w:t>
            </w:r>
          </w:p>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方式</w:t>
            </w:r>
          </w:p>
        </w:tc>
        <w:tc>
          <w:tcPr>
            <w:tcW w:w="4650" w:type="dxa"/>
            <w:gridSpan w:val="5"/>
            <w:vAlign w:val="center"/>
          </w:tcPr>
          <w:p>
            <w:pPr>
              <w:pStyle w:val="3"/>
              <w:kinsoku w:val="0"/>
              <w:overflowPunct w:val="0"/>
              <w:spacing w:beforeLines="0" w:afterLines="0"/>
              <w:jc w:val="both"/>
              <w:rPr>
                <w:rFonts w:hint="default" w:ascii="Arial" w:hAnsi="Arial"/>
                <w:color w:val="auto"/>
                <w:sz w:val="24"/>
                <w:szCs w:val="24"/>
                <w:vertAlign w:val="baseline"/>
              </w:rPr>
            </w:pPr>
            <w:r>
              <w:rPr>
                <w:rFonts w:hint="eastAsia"/>
                <w:color w:val="auto"/>
                <w:sz w:val="24"/>
                <w:szCs w:val="24"/>
              </w:rPr>
              <w:t>上门巡</w:t>
            </w:r>
            <w:r>
              <w:rPr>
                <w:rFonts w:hint="eastAsia"/>
                <w:color w:val="auto"/>
                <w:spacing w:val="-36"/>
                <w:sz w:val="24"/>
                <w:szCs w:val="24"/>
              </w:rPr>
              <w:t>访</w:t>
            </w:r>
            <w:r>
              <w:rPr>
                <w:rFonts w:hint="eastAsia"/>
                <w:color w:val="auto"/>
                <w:spacing w:val="-36"/>
                <w:sz w:val="24"/>
                <w:szCs w:val="24"/>
                <w:lang w:val="en-US" w:eastAsia="zh-CN"/>
              </w:rPr>
              <w:t xml:space="preserve">   </w:t>
            </w:r>
            <w:r>
              <w:rPr>
                <w:rFonts w:hint="eastAsia"/>
                <w:color w:val="auto"/>
                <w:sz w:val="24"/>
                <w:szCs w:val="24"/>
              </w:rPr>
              <w:t>口</w:t>
            </w:r>
            <w:r>
              <w:rPr>
                <w:rFonts w:hint="eastAsia"/>
                <w:color w:val="auto"/>
                <w:sz w:val="24"/>
                <w:szCs w:val="24"/>
                <w:lang w:val="en-US" w:eastAsia="zh-CN"/>
              </w:rPr>
              <w:t xml:space="preserve"> </w:t>
            </w:r>
            <w:r>
              <w:rPr>
                <w:rFonts w:hint="eastAsia"/>
                <w:color w:val="auto"/>
                <w:sz w:val="24"/>
                <w:szCs w:val="24"/>
              </w:rPr>
              <w:t>电话询问</w:t>
            </w:r>
            <w:r>
              <w:rPr>
                <w:rFonts w:hint="eastAsia"/>
                <w:color w:val="auto"/>
                <w:sz w:val="24"/>
                <w:szCs w:val="24"/>
                <w:lang w:val="en-US" w:eastAsia="zh-CN"/>
              </w:rPr>
              <w:t xml:space="preserve"> </w:t>
            </w:r>
            <w:r>
              <w:rPr>
                <w:rFonts w:hint="eastAsia"/>
                <w:color w:val="auto"/>
                <w:sz w:val="24"/>
                <w:szCs w:val="24"/>
              </w:rPr>
              <w:t>口</w:t>
            </w:r>
            <w:r>
              <w:rPr>
                <w:rFonts w:hint="eastAsia"/>
                <w:color w:val="auto"/>
                <w:sz w:val="24"/>
                <w:szCs w:val="24"/>
                <w:lang w:val="en-US" w:eastAsia="zh-CN"/>
              </w:rPr>
              <w:t xml:space="preserve"> 视频连线 </w:t>
            </w:r>
            <w:r>
              <w:rPr>
                <w:rFonts w:hint="eastAsia"/>
                <w:color w:val="auto"/>
                <w:sz w:val="24"/>
                <w:szCs w:val="24"/>
              </w:rPr>
              <w:t>口</w:t>
            </w:r>
          </w:p>
        </w:tc>
        <w:tc>
          <w:tcPr>
            <w:tcW w:w="725" w:type="dxa"/>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探访</w:t>
            </w:r>
          </w:p>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时间</w:t>
            </w:r>
          </w:p>
        </w:tc>
        <w:tc>
          <w:tcPr>
            <w:tcW w:w="2748" w:type="dxa"/>
            <w:gridSpan w:val="3"/>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exact"/>
          <w:jc w:val="center"/>
        </w:trPr>
        <w:tc>
          <w:tcPr>
            <w:tcW w:w="935" w:type="dxa"/>
            <w:vMerge w:val="restart"/>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探访</w:t>
            </w:r>
          </w:p>
          <w:p>
            <w:pPr>
              <w:pStyle w:val="3"/>
              <w:kinsoku w:val="0"/>
              <w:overflowPunct w:val="0"/>
              <w:spacing w:beforeLines="0" w:afterLines="0"/>
              <w:jc w:val="center"/>
              <w:rPr>
                <w:rFonts w:hint="eastAsia" w:ascii="Arial" w:hAnsi="Arial"/>
                <w:color w:val="auto"/>
                <w:sz w:val="24"/>
                <w:szCs w:val="24"/>
                <w:vertAlign w:val="baseline"/>
                <w:lang w:eastAsia="zh-CN"/>
              </w:rPr>
            </w:pPr>
            <w:r>
              <w:rPr>
                <w:rFonts w:hint="eastAsia" w:ascii="Arial" w:hAnsi="Arial"/>
                <w:color w:val="auto"/>
                <w:sz w:val="24"/>
                <w:szCs w:val="24"/>
                <w:vertAlign w:val="baseline"/>
                <w:lang w:eastAsia="zh-CN"/>
              </w:rPr>
              <w:t>内容</w:t>
            </w:r>
          </w:p>
        </w:tc>
        <w:tc>
          <w:tcPr>
            <w:tcW w:w="2195" w:type="dxa"/>
            <w:gridSpan w:val="3"/>
            <w:vAlign w:val="center"/>
          </w:tcPr>
          <w:p>
            <w:pPr>
              <w:pStyle w:val="3"/>
              <w:kinsoku w:val="0"/>
              <w:overflowPunct w:val="0"/>
              <w:spacing w:beforeLines="0" w:afterLines="0"/>
              <w:jc w:val="center"/>
              <w:rPr>
                <w:rFonts w:hint="eastAsia" w:eastAsia="宋体"/>
                <w:color w:val="auto"/>
                <w:sz w:val="24"/>
                <w:szCs w:val="24"/>
                <w:lang w:eastAsia="zh-CN"/>
              </w:rPr>
            </w:pPr>
            <w:r>
              <w:rPr>
                <w:rFonts w:hint="eastAsia"/>
                <w:color w:val="auto"/>
                <w:sz w:val="24"/>
                <w:szCs w:val="24"/>
                <w:lang w:eastAsia="zh-CN"/>
              </w:rPr>
              <w:t>健康状况</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exact"/>
          <w:jc w:val="center"/>
        </w:trPr>
        <w:tc>
          <w:tcPr>
            <w:tcW w:w="935" w:type="dxa"/>
            <w:vMerge w:val="continue"/>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p>
        </w:tc>
        <w:tc>
          <w:tcPr>
            <w:tcW w:w="2195" w:type="dxa"/>
            <w:gridSpan w:val="3"/>
            <w:vAlign w:val="center"/>
          </w:tcPr>
          <w:p>
            <w:pPr>
              <w:pStyle w:val="3"/>
              <w:kinsoku w:val="0"/>
              <w:overflowPunct w:val="0"/>
              <w:spacing w:beforeLines="0" w:afterLines="0"/>
              <w:jc w:val="center"/>
              <w:rPr>
                <w:rFonts w:hint="eastAsia"/>
                <w:color w:val="auto"/>
                <w:sz w:val="24"/>
                <w:szCs w:val="24"/>
                <w:lang w:eastAsia="zh-CN"/>
              </w:rPr>
            </w:pPr>
            <w:r>
              <w:rPr>
                <w:rFonts w:hint="eastAsia"/>
                <w:color w:val="auto"/>
                <w:sz w:val="24"/>
                <w:szCs w:val="24"/>
                <w:lang w:eastAsia="zh-CN"/>
              </w:rPr>
              <w:t>精神状态</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jc w:val="center"/>
        </w:trPr>
        <w:tc>
          <w:tcPr>
            <w:tcW w:w="935" w:type="dxa"/>
            <w:vMerge w:val="continue"/>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p>
        </w:tc>
        <w:tc>
          <w:tcPr>
            <w:tcW w:w="2195" w:type="dxa"/>
            <w:gridSpan w:val="3"/>
            <w:vAlign w:val="center"/>
          </w:tcPr>
          <w:p>
            <w:pPr>
              <w:pStyle w:val="3"/>
              <w:kinsoku w:val="0"/>
              <w:overflowPunct w:val="0"/>
              <w:spacing w:beforeLines="0" w:afterLines="0"/>
              <w:jc w:val="center"/>
              <w:rPr>
                <w:rFonts w:hint="eastAsia"/>
                <w:color w:val="auto"/>
                <w:sz w:val="24"/>
                <w:szCs w:val="24"/>
                <w:lang w:eastAsia="zh-CN"/>
              </w:rPr>
            </w:pPr>
            <w:r>
              <w:rPr>
                <w:rFonts w:hint="eastAsia"/>
                <w:color w:val="auto"/>
                <w:sz w:val="24"/>
                <w:szCs w:val="24"/>
                <w:lang w:eastAsia="zh-CN"/>
              </w:rPr>
              <w:t>安全情况</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exact"/>
          <w:jc w:val="center"/>
        </w:trPr>
        <w:tc>
          <w:tcPr>
            <w:tcW w:w="935" w:type="dxa"/>
            <w:vMerge w:val="continue"/>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p>
        </w:tc>
        <w:tc>
          <w:tcPr>
            <w:tcW w:w="2195" w:type="dxa"/>
            <w:gridSpan w:val="3"/>
            <w:vAlign w:val="center"/>
          </w:tcPr>
          <w:p>
            <w:pPr>
              <w:pStyle w:val="3"/>
              <w:kinsoku w:val="0"/>
              <w:overflowPunct w:val="0"/>
              <w:spacing w:beforeLines="0" w:afterLines="0"/>
              <w:jc w:val="center"/>
              <w:rPr>
                <w:rFonts w:hint="eastAsia"/>
                <w:color w:val="auto"/>
                <w:sz w:val="24"/>
                <w:szCs w:val="24"/>
                <w:lang w:eastAsia="zh-CN"/>
              </w:rPr>
            </w:pPr>
            <w:r>
              <w:rPr>
                <w:rFonts w:hint="eastAsia"/>
                <w:color w:val="auto"/>
                <w:sz w:val="24"/>
                <w:szCs w:val="24"/>
                <w:lang w:eastAsia="zh-CN"/>
              </w:rPr>
              <w:t>卫生状况</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35" w:type="dxa"/>
            <w:vMerge w:val="continue"/>
            <w:vAlign w:val="center"/>
          </w:tcPr>
          <w:p>
            <w:pPr>
              <w:pStyle w:val="3"/>
              <w:kinsoku w:val="0"/>
              <w:overflowPunct w:val="0"/>
              <w:spacing w:beforeLines="0" w:afterLines="0"/>
              <w:jc w:val="center"/>
              <w:rPr>
                <w:rFonts w:hint="eastAsia" w:ascii="Arial" w:hAnsi="Arial"/>
                <w:color w:val="auto"/>
                <w:sz w:val="24"/>
                <w:szCs w:val="24"/>
                <w:vertAlign w:val="baseline"/>
                <w:lang w:eastAsia="zh-CN"/>
              </w:rPr>
            </w:pPr>
          </w:p>
        </w:tc>
        <w:tc>
          <w:tcPr>
            <w:tcW w:w="2195" w:type="dxa"/>
            <w:gridSpan w:val="3"/>
            <w:vAlign w:val="center"/>
          </w:tcPr>
          <w:p>
            <w:pPr>
              <w:pStyle w:val="3"/>
              <w:kinsoku w:val="0"/>
              <w:overflowPunct w:val="0"/>
              <w:spacing w:beforeLines="0" w:afterLines="0"/>
              <w:jc w:val="center"/>
              <w:rPr>
                <w:rFonts w:hint="eastAsia"/>
                <w:color w:val="auto"/>
                <w:sz w:val="24"/>
                <w:szCs w:val="24"/>
                <w:lang w:eastAsia="zh-CN"/>
              </w:rPr>
            </w:pPr>
            <w:r>
              <w:rPr>
                <w:rFonts w:hint="eastAsia"/>
                <w:color w:val="auto"/>
                <w:sz w:val="24"/>
                <w:szCs w:val="24"/>
                <w:lang w:eastAsia="zh-CN"/>
              </w:rPr>
              <w:t>居住环境</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jc w:val="center"/>
        </w:trPr>
        <w:tc>
          <w:tcPr>
            <w:tcW w:w="3130" w:type="dxa"/>
            <w:gridSpan w:val="4"/>
            <w:vAlign w:val="center"/>
          </w:tcPr>
          <w:p>
            <w:pPr>
              <w:pStyle w:val="3"/>
              <w:kinsoku w:val="0"/>
              <w:overflowPunct w:val="0"/>
              <w:spacing w:beforeLines="0" w:afterLines="0"/>
              <w:jc w:val="center"/>
              <w:rPr>
                <w:rFonts w:hint="eastAsia" w:eastAsia="宋体"/>
                <w:color w:val="auto"/>
                <w:sz w:val="24"/>
                <w:szCs w:val="24"/>
                <w:lang w:eastAsia="zh-CN"/>
              </w:rPr>
            </w:pPr>
            <w:r>
              <w:rPr>
                <w:rFonts w:hint="eastAsia"/>
                <w:color w:val="auto"/>
                <w:sz w:val="24"/>
                <w:szCs w:val="24"/>
                <w:lang w:eastAsia="zh-CN"/>
              </w:rPr>
              <w:t>服务对象</w:t>
            </w:r>
            <w:r>
              <w:rPr>
                <w:rFonts w:hint="eastAsia"/>
                <w:color w:val="auto"/>
                <w:sz w:val="24"/>
                <w:szCs w:val="24"/>
              </w:rPr>
              <w:t>需解决的问题和需求及解决处理方式</w:t>
            </w:r>
            <w:r>
              <w:rPr>
                <w:rFonts w:hint="eastAsia"/>
                <w:color w:val="auto"/>
                <w:sz w:val="24"/>
                <w:szCs w:val="24"/>
                <w:lang w:eastAsia="zh-CN"/>
              </w:rPr>
              <w:t>结果</w:t>
            </w:r>
          </w:p>
        </w:tc>
        <w:tc>
          <w:tcPr>
            <w:tcW w:w="5928" w:type="dxa"/>
            <w:gridSpan w:val="6"/>
            <w:vAlign w:val="center"/>
          </w:tcPr>
          <w:p>
            <w:pPr>
              <w:pStyle w:val="3"/>
              <w:kinsoku w:val="0"/>
              <w:overflowPunct w:val="0"/>
              <w:spacing w:beforeLines="0" w:afterLines="0"/>
              <w:jc w:val="center"/>
              <w:rPr>
                <w:rFonts w:hint="default" w:ascii="Arial" w:hAnsi="Arial"/>
                <w:color w:val="auto"/>
                <w:sz w:val="24"/>
                <w:szCs w:val="24"/>
                <w:vertAlign w:val="baseline"/>
              </w:rPr>
            </w:pPr>
          </w:p>
        </w:tc>
      </w:tr>
    </w:tbl>
    <w:p>
      <w:pPr>
        <w:pStyle w:val="3"/>
        <w:kinsoku w:val="0"/>
        <w:overflowPunct w:val="0"/>
        <w:spacing w:beforeLines="0" w:afterLines="0"/>
        <w:ind w:left="0" w:leftChars="0" w:firstLine="0" w:firstLineChars="0"/>
        <w:rPr>
          <w:rFonts w:hint="default" w:ascii="Arial" w:hAnsi="Arial"/>
          <w:color w:val="auto"/>
          <w:sz w:val="20"/>
        </w:rPr>
      </w:pPr>
    </w:p>
    <w:p>
      <w:pPr>
        <w:pStyle w:val="3"/>
        <w:kinsoku w:val="0"/>
        <w:overflowPunct w:val="0"/>
        <w:spacing w:beforeLines="0" w:afterLines="0"/>
        <w:rPr>
          <w:rFonts w:hint="eastAsia"/>
          <w:color w:val="auto"/>
          <w:spacing w:val="-2"/>
          <w:w w:val="90"/>
          <w:sz w:val="22"/>
        </w:rPr>
      </w:pPr>
      <w:r>
        <w:rPr>
          <w:rFonts w:hint="eastAsia"/>
          <w:color w:val="auto"/>
          <w:spacing w:val="-4"/>
          <w:sz w:val="22"/>
        </w:rPr>
        <w:t>备注</w:t>
      </w:r>
      <w:r>
        <w:rPr>
          <w:rFonts w:hint="eastAsia"/>
          <w:color w:val="auto"/>
          <w:spacing w:val="6"/>
          <w:w w:val="90"/>
          <w:sz w:val="22"/>
        </w:rPr>
        <w:t xml:space="preserve">： </w:t>
      </w:r>
      <w:r>
        <w:rPr>
          <w:rFonts w:hint="eastAsia"/>
          <w:color w:val="auto"/>
          <w:spacing w:val="-1"/>
          <w:sz w:val="22"/>
        </w:rPr>
        <w:t>此表</w:t>
      </w:r>
      <w:r>
        <w:rPr>
          <w:rFonts w:hint="eastAsia"/>
          <w:color w:val="auto"/>
          <w:spacing w:val="-1"/>
          <w:sz w:val="22"/>
          <w:highlight w:val="none"/>
          <w:lang w:eastAsia="zh-CN"/>
        </w:rPr>
        <w:t>由甲方</w:t>
      </w:r>
      <w:r>
        <w:rPr>
          <w:rFonts w:hint="eastAsia"/>
          <w:color w:val="auto"/>
          <w:spacing w:val="-1"/>
          <w:sz w:val="22"/>
        </w:rPr>
        <w:t xml:space="preserve">用于每次开展探访分散特困供养人员使用。探访一次 </w:t>
      </w:r>
      <w:r>
        <w:rPr>
          <w:rFonts w:hint="eastAsia"/>
          <w:color w:val="auto"/>
          <w:spacing w:val="-14"/>
          <w:w w:val="90"/>
          <w:sz w:val="22"/>
        </w:rPr>
        <w:t xml:space="preserve">， </w:t>
      </w:r>
      <w:r>
        <w:rPr>
          <w:rFonts w:hint="eastAsia"/>
          <w:color w:val="auto"/>
          <w:spacing w:val="8"/>
          <w:sz w:val="22"/>
        </w:rPr>
        <w:t>应记录一次</w:t>
      </w:r>
      <w:r>
        <w:rPr>
          <w:rFonts w:hint="eastAsia"/>
          <w:color w:val="auto"/>
          <w:spacing w:val="-2"/>
          <w:w w:val="90"/>
          <w:sz w:val="22"/>
        </w:rPr>
        <w:t xml:space="preserve">， </w:t>
      </w:r>
    </w:p>
    <w:p>
      <w:pPr>
        <w:pStyle w:val="3"/>
        <w:kinsoku w:val="0"/>
        <w:overflowPunct w:val="0"/>
        <w:spacing w:beforeLines="0" w:afterLines="0"/>
      </w:pPr>
      <w:r>
        <w:rPr>
          <w:rFonts w:hint="eastAsia"/>
          <w:color w:val="auto"/>
          <w:sz w:val="22"/>
        </w:rPr>
        <w:t>报村（居） 委会、乡镇（街道）备案</w:t>
      </w:r>
      <w:r>
        <w:rPr>
          <w:rFonts w:hint="eastAsia"/>
          <w:color w:val="auto"/>
          <w:sz w:val="22"/>
          <w:lang w:eastAsia="zh-CN"/>
        </w:rPr>
        <w:t>。</w:t>
      </w:r>
    </w:p>
    <w:sectPr>
      <w:footerReference r:id="rId3" w:type="default"/>
      <w:pgSz w:w="11906" w:h="16838"/>
      <w:pgMar w:top="1894" w:right="1587" w:bottom="1417" w:left="1587" w:header="851" w:footer="992" w:gutter="0"/>
      <w:cols w:space="72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4"/>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E6B79"/>
    <w:rsid w:val="39111E22"/>
    <w:rsid w:val="5CF5299F"/>
    <w:rsid w:val="7B4C64BC"/>
    <w:rsid w:val="7C4E6B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Normal Indent_75c4d92e-d64c-4fd2-adea-530f4b7c657e"/>
    <w:basedOn w:val="1"/>
    <w:qFormat/>
    <w:uiPriority w:val="0"/>
    <w:pPr>
      <w:ind w:firstLine="420" w:firstLineChars="200"/>
    </w:pPr>
  </w:style>
  <w:style w:type="paragraph" w:styleId="3">
    <w:name w:val="Body Text"/>
    <w:basedOn w:val="1"/>
    <w:qFormat/>
    <w:uiPriority w:val="0"/>
    <w:pPr>
      <w:ind w:left="120"/>
    </w:pPr>
    <w:rPr>
      <w:rFonts w:ascii="仿宋_GB2312" w:hAnsi="仿宋_GB2312" w:eastAsia="仿宋_GB2312" w:cs="仿宋_GB2312"/>
      <w:sz w:val="32"/>
      <w:szCs w:val="32"/>
      <w:lang w:val="zh-CN" w:bidi="zh-CN"/>
    </w:rPr>
  </w:style>
  <w:style w:type="paragraph" w:styleId="4">
    <w:name w:val="footer"/>
    <w:basedOn w:val="1"/>
    <w:qFormat/>
    <w:uiPriority w:val="0"/>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2020-04-01T01:18:00Z</dcterms:created>
  <dc:creator>Sunshine</dc:creator>
  <cp:lastModifiedBy>Eagle</cp:lastModifiedBy>
  <cp:lastPrinted>2020-04-01T01:26:00Z</cp:lastPrinted>
  <dcterms:modified xsi:type="dcterms:W3CDTF">2020-04-01T02:38:02Z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