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48FB" w:rsidRPr="00584C82" w:rsidRDefault="001D15B8">
      <w:pPr>
        <w:kinsoku/>
        <w:autoSpaceDE/>
        <w:autoSpaceDN/>
        <w:adjustRightInd/>
        <w:snapToGrid/>
        <w:textAlignment w:val="auto"/>
        <w:rPr>
          <w:rFonts w:ascii="黑体" w:eastAsia="黑体" w:hAnsi="黑体" w:cs="黑体"/>
          <w:b/>
          <w:bCs/>
          <w:color w:val="auto"/>
          <w:sz w:val="36"/>
          <w:szCs w:val="36"/>
          <w:lang w:eastAsia="zh-CN"/>
        </w:rPr>
      </w:pPr>
      <w:r w:rsidRPr="00584C82">
        <w:rPr>
          <w:rFonts w:ascii="黑体" w:eastAsia="黑体" w:hAnsi="黑体" w:cs="黑体" w:hint="eastAsia"/>
          <w:b/>
          <w:bCs/>
          <w:color w:val="auto"/>
          <w:sz w:val="36"/>
          <w:szCs w:val="36"/>
          <w:lang w:eastAsia="zh-CN"/>
        </w:rPr>
        <w:t>附件1</w:t>
      </w:r>
    </w:p>
    <w:p w:rsidR="004D48FB" w:rsidRPr="00584C82" w:rsidRDefault="001D15B8">
      <w:pPr>
        <w:spacing w:line="360" w:lineRule="auto"/>
        <w:jc w:val="both"/>
        <w:rPr>
          <w:rFonts w:ascii="黑体" w:eastAsia="黑体" w:hAnsi="黑体" w:cs="黑体"/>
          <w:b/>
          <w:bCs/>
          <w:color w:val="auto"/>
          <w:sz w:val="36"/>
          <w:szCs w:val="36"/>
          <w:lang w:eastAsia="zh-CN"/>
        </w:rPr>
      </w:pPr>
      <w:r w:rsidRPr="00584C82">
        <w:rPr>
          <w:rFonts w:ascii="黑体" w:eastAsia="黑体" w:hAnsi="黑体" w:cs="黑体" w:hint="eastAsia"/>
          <w:b/>
          <w:bCs/>
          <w:color w:val="auto"/>
          <w:sz w:val="36"/>
          <w:szCs w:val="36"/>
          <w:lang w:eastAsia="zh-CN"/>
        </w:rPr>
        <w:t>《大余县</w:t>
      </w:r>
      <w:r w:rsidR="00C8191D" w:rsidRPr="00584C82">
        <w:rPr>
          <w:rFonts w:ascii="黑体" w:eastAsia="黑体" w:hAnsi="黑体" w:cs="黑体" w:hint="eastAsia"/>
          <w:b/>
          <w:bCs/>
          <w:color w:val="auto"/>
          <w:sz w:val="36"/>
          <w:szCs w:val="36"/>
          <w:lang w:eastAsia="zh-CN"/>
        </w:rPr>
        <w:t>新城镇</w:t>
      </w:r>
      <w:r w:rsidRPr="00584C82">
        <w:rPr>
          <w:rFonts w:ascii="黑体" w:eastAsia="黑体" w:hAnsi="黑体" w:cs="黑体" w:hint="eastAsia"/>
          <w:b/>
          <w:bCs/>
          <w:color w:val="auto"/>
          <w:sz w:val="36"/>
          <w:szCs w:val="36"/>
          <w:lang w:eastAsia="zh-CN"/>
        </w:rPr>
        <w:t>国土空间总体规划（2021-2035年）》</w:t>
      </w:r>
    </w:p>
    <w:p w:rsidR="004D48FB" w:rsidRPr="00584C82" w:rsidRDefault="001D15B8">
      <w:pPr>
        <w:spacing w:line="360" w:lineRule="auto"/>
        <w:jc w:val="center"/>
        <w:rPr>
          <w:rFonts w:ascii="黑体" w:eastAsia="黑体" w:hAnsi="黑体" w:cs="黑体"/>
          <w:b/>
          <w:bCs/>
          <w:color w:val="auto"/>
          <w:sz w:val="36"/>
          <w:szCs w:val="36"/>
          <w:lang w:eastAsia="zh-CN"/>
        </w:rPr>
      </w:pPr>
      <w:r w:rsidRPr="00584C82">
        <w:rPr>
          <w:rFonts w:ascii="黑体" w:eastAsia="黑体" w:hAnsi="黑体" w:cs="黑体" w:hint="eastAsia"/>
          <w:b/>
          <w:bCs/>
          <w:color w:val="auto"/>
          <w:sz w:val="36"/>
          <w:szCs w:val="36"/>
          <w:lang w:eastAsia="zh-CN"/>
        </w:rPr>
        <w:t>征求公众意见稿主要内容</w:t>
      </w:r>
    </w:p>
    <w:p w:rsidR="004D48FB" w:rsidRPr="00584C82" w:rsidRDefault="001D15B8">
      <w:pPr>
        <w:spacing w:before="480" w:after="320"/>
        <w:jc w:val="both"/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</w:pP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一、规划范围与期限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1、规划范围与层次</w:t>
      </w:r>
    </w:p>
    <w:p w:rsidR="004D48FB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本次规划范围为大余县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行政辖区范围，包括镇域和镇区两个层次。</w:t>
      </w:r>
    </w:p>
    <w:p w:rsidR="004D48FB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镇域层次：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行政辖区范围内的全部国土空间，辖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23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个行政村（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265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个村民小组）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、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个居委会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，另包含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个林场、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个森林管理委员会、新城镇机场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，镇域面积约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159.67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平方公里。</w:t>
      </w:r>
    </w:p>
    <w:p w:rsidR="00C8191D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镇区层次</w:t>
      </w:r>
      <w:r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：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镇区</w:t>
      </w:r>
      <w:r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所在地及周边集中建设区域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</w:t>
      </w:r>
      <w:r w:rsidR="00C8191D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东以新城镇镇界为界，西至窑孜前村，南至章水，北至</w:t>
      </w:r>
      <w:r w:rsidR="00E4130A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赣韶铁路。包含新城村、窑孜前村、高龙村、观路村、分水坳村、巷口村和王屋岭村部分区域。新城镇镇区范围</w:t>
      </w:r>
      <w:r w:rsidR="00E4130A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10.75</w:t>
      </w:r>
      <w:r w:rsidR="00E4130A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平方公里（其中城镇开发边界面积</w:t>
      </w:r>
      <w:r w:rsidR="00E4130A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4.62</w:t>
      </w:r>
      <w:r w:rsidR="00E4130A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平方公里）</w:t>
      </w:r>
      <w:r w:rsidR="00E4130A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。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2、规划期限</w:t>
      </w:r>
    </w:p>
    <w:p w:rsidR="004D48FB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本次规划基期年为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2020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年，规划期限为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2021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年至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2035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年，其中近期目标年为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2028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年，规划目标年为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2035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年。</w:t>
      </w:r>
    </w:p>
    <w:p w:rsidR="004D48FB" w:rsidRPr="00584C82" w:rsidRDefault="001D15B8">
      <w:pPr>
        <w:spacing w:before="480" w:after="320"/>
        <w:jc w:val="both"/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</w:pP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二、发展定位与目标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1、发展定位</w:t>
      </w:r>
    </w:p>
    <w:p w:rsidR="00054E69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发展定位：</w:t>
      </w:r>
      <w:r w:rsidR="00054E69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赣南地区产业兴旺示范镇</w:t>
      </w:r>
      <w:r w:rsidR="00220F56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、县域东部融合发展中心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lastRenderedPageBreak/>
        <w:t>2、国土空间开发保护目标</w:t>
      </w:r>
    </w:p>
    <w:p w:rsidR="004D48FB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落实上位规划指标要求，综合考虑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国土空间开发保护的现状条件及规划任务，明确国土空间开发保护的量化指标。</w:t>
      </w:r>
    </w:p>
    <w:p w:rsidR="00FA0761" w:rsidRPr="00584C82" w:rsidRDefault="001D15B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严格落实上位规划下达的规划约束性指标，按照耕地和永久基本农田、生态保护红线、城镇开发边界的优先序统筹落实三条控制线，确保三条控制线不交叉不重叠不冲突。至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2035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新城镇耕地保有量</w:t>
      </w:r>
      <w:r w:rsidR="00220F56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不低于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27.34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平方公里，永久基本农田保护面积不低于</w:t>
      </w:r>
      <w:r w:rsidR="00FA0761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25.37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平方公里；生态保护红线面积不低于</w:t>
      </w:r>
      <w:r w:rsidR="00FA0761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11.94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平方公里；城镇开发边界面积不高于</w:t>
      </w:r>
      <w:r w:rsidR="00FA0761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4.62</w:t>
      </w:r>
      <w:r w:rsidR="00FA076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平方公里。</w:t>
      </w:r>
    </w:p>
    <w:p w:rsidR="004D48FB" w:rsidRPr="00584C82" w:rsidRDefault="001D15B8">
      <w:pPr>
        <w:spacing w:before="480" w:after="320"/>
        <w:jc w:val="both"/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</w:pP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三、国土空间总体格局</w:t>
      </w:r>
    </w:p>
    <w:p w:rsidR="004D48FB" w:rsidRPr="00584C82" w:rsidRDefault="00001B88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围绕乡镇国土空间保护开发的目标和战略，</w:t>
      </w:r>
      <w:r w:rsidR="001D15B8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以自然地理格局为基础，结合适宜性分析，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合理构建农业生产、生态保护、镇（乡）村发展等国土空间开发保护总体格局</w:t>
      </w:r>
      <w:r w:rsidR="001D15B8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，明确发保护区域、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开发</w:t>
      </w:r>
      <w:r w:rsidR="001D15B8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轴带及重要节点，确定国土空间总体格局。构建</w:t>
      </w:r>
      <w:r w:rsidR="001D15B8" w:rsidRPr="00584C82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“一心两轴三区”</w:t>
      </w:r>
      <w:r w:rsidR="001D15B8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国土空间开发保护总体格局，指导三大空间布局。</w:t>
      </w:r>
    </w:p>
    <w:p w:rsidR="008E02A3" w:rsidRPr="00584C82" w:rsidRDefault="001D15B8" w:rsidP="008E02A3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一心：</w:t>
      </w:r>
      <w:r w:rsidR="008E02A3"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即镇区综合服务中心，</w:t>
      </w:r>
      <w:r w:rsidR="008E02A3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是全镇城镇建设和社会经济发展的核心区域，对周边区域具有较强的经济辐射和带动作用。</w:t>
      </w:r>
    </w:p>
    <w:p w:rsidR="008E02A3" w:rsidRPr="00584C82" w:rsidRDefault="001D15B8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两轴：</w:t>
      </w:r>
      <w:r w:rsidR="008E02A3"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即区域联动发展轴、城乡融合发展轴。</w:t>
      </w:r>
      <w:r w:rsidR="008E02A3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其中以新城大道、现状</w:t>
      </w:r>
      <w:r w:rsidR="008E02A3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G</w:t>
      </w:r>
      <w:r w:rsidR="008E02A3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323</w:t>
      </w:r>
      <w:r w:rsidR="008E02A3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国道为区域联动发展轴，西与大余池江、青龙、黄龙以及中心城区联动发展，东与南康区联动发展；依托镇域乡道形成南北向城乡融合发展轴，</w:t>
      </w:r>
      <w:r w:rsidR="00E31C3E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主要连接中部镇区、镇域北部与南部区域，促进农旅融合、城乡融合发展。</w:t>
      </w:r>
    </w:p>
    <w:p w:rsidR="008E02A3" w:rsidRPr="00584C82" w:rsidRDefault="00E31C3E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b/>
          <w:bCs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lastRenderedPageBreak/>
        <w:t>三区：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依托镇域资源禀赋与发展基础，分别形成</w:t>
      </w:r>
      <w:r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中部城镇发展区、南部生态休闲发展区以、北部现代农业发展区。</w:t>
      </w:r>
    </w:p>
    <w:p w:rsidR="004D48FB" w:rsidRPr="00584C82" w:rsidRDefault="001D15B8">
      <w:pPr>
        <w:spacing w:before="480" w:after="320"/>
        <w:jc w:val="both"/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</w:pP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四、村庄布局优化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1、镇村体系</w:t>
      </w:r>
    </w:p>
    <w:p w:rsidR="001A0480" w:rsidRPr="00584C82" w:rsidRDefault="001A0480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综合考虑人口规模、经济发展、辐射范围等因素，规划形成</w:t>
      </w:r>
      <w:r w:rsidRPr="00584C82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“镇区—中心村—</w:t>
      </w:r>
      <w:r w:rsidR="00C63261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一般</w:t>
      </w:r>
      <w:r w:rsidRPr="00584C82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村”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三级镇村等级体系。</w:t>
      </w:r>
    </w:p>
    <w:p w:rsidR="001A0480" w:rsidRPr="00584C82" w:rsidRDefault="001A0480" w:rsidP="001A0480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个镇区：即新城镇镇区，承担政治、经济、文化、服务、产业中心职能，</w:t>
      </w:r>
      <w:r w:rsidR="00A203A1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主要位于新城居委会、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新城村、观路村。</w:t>
      </w:r>
    </w:p>
    <w:p w:rsidR="00A203A1" w:rsidRPr="00584C82" w:rsidRDefault="00A203A1" w:rsidP="00A203A1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4</w:t>
      </w:r>
      <w:r w:rsidR="001A0480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个中心村：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水西村、周屋村、灌湖村、白田埠村</w:t>
      </w:r>
      <w:r w:rsidR="001A0480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。以特色种养殖为基础，大力发展</w:t>
      </w: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白鸭养殖、畜牧业、蔬菜种植等特色农业，以及乡村文化旅游业；提升中心村设施配置水平，建设村级公共服务中心。</w:t>
      </w:r>
    </w:p>
    <w:p w:rsidR="001A0480" w:rsidRPr="00584C82" w:rsidRDefault="008708A8" w:rsidP="001A0480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19</w:t>
      </w:r>
      <w:r w:rsidR="001A0480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个一般村：即镇域范围内其他行政村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（含新城村、观路村城镇开发边界外区域）</w:t>
      </w:r>
      <w:r w:rsidR="001A0480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，是各行政村内主要的生活、生产服务中心，承接一般农业和部分产业职能，是镇域发展的基本单元。</w:t>
      </w:r>
    </w:p>
    <w:p w:rsidR="00CA5D5F" w:rsidRPr="00CC0035" w:rsidRDefault="00CA5D5F" w:rsidP="00CA5D5F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CC0035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2、行政村分类</w:t>
      </w:r>
    </w:p>
    <w:p w:rsidR="00CA5D5F" w:rsidRPr="00CC0035" w:rsidRDefault="00CA5D5F" w:rsidP="00CA5D5F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依托乡村振兴战略的实施，结合上位规划确定的村庄分类，至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2035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年，新城镇行政村划分为城郊融合类</w:t>
      </w:r>
      <w:r w:rsidRPr="00CC0035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8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个、集聚发展类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</w:t>
      </w:r>
      <w:r w:rsidRPr="00CC0035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0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个、特色保护类</w:t>
      </w:r>
      <w:r w:rsidRPr="00CC0035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3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个、整治提升类</w:t>
      </w:r>
      <w:r w:rsidRPr="00CC0035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2</w:t>
      </w: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个。</w:t>
      </w:r>
    </w:p>
    <w:p w:rsidR="00CA5D5F" w:rsidRPr="00CC0035" w:rsidRDefault="00CA5D5F" w:rsidP="00CA5D5F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城郊融合类：新城村、观路村、京州村、鱼仙村、店孜里村、水西村、分水坳村、高龙村；</w:t>
      </w:r>
    </w:p>
    <w:p w:rsidR="00CA5D5F" w:rsidRPr="00CC0035" w:rsidRDefault="00CA5D5F" w:rsidP="00CA5D5F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集聚发展类：窑孜前村、龙王庙村、樟树下村、东乾村、桥西村、巷口村、灌湖村、王屋岭村、水南村、白田埠村；</w:t>
      </w:r>
    </w:p>
    <w:p w:rsidR="00CA5D5F" w:rsidRPr="00CC0035" w:rsidRDefault="00CA5D5F" w:rsidP="00CA5D5F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lastRenderedPageBreak/>
        <w:t>特色保护类：莲塘村、周屋村、南丰村；</w:t>
      </w:r>
    </w:p>
    <w:p w:rsidR="00CA5D5F" w:rsidRPr="00CC0035" w:rsidRDefault="00CA5D5F" w:rsidP="00CA5D5F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C00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整治提升类：茶园村、合江村。</w:t>
      </w:r>
    </w:p>
    <w:p w:rsidR="004D48FB" w:rsidRPr="00584C82" w:rsidRDefault="001D15B8">
      <w:pPr>
        <w:spacing w:before="480" w:after="320"/>
        <w:jc w:val="both"/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</w:pP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五、</w:t>
      </w:r>
      <w:r w:rsidRPr="00584C82">
        <w:rPr>
          <w:rFonts w:ascii="Times New Roman" w:eastAsia="黑体" w:hAnsi="Times New Roman" w:cs="Times New Roman" w:hint="eastAsia"/>
          <w:color w:val="auto"/>
          <w:spacing w:val="7"/>
          <w:sz w:val="32"/>
          <w:szCs w:val="32"/>
          <w:lang w:eastAsia="zh-CN"/>
        </w:rPr>
        <w:t>镇区</w:t>
      </w:r>
      <w:r w:rsidRPr="00584C82">
        <w:rPr>
          <w:rFonts w:ascii="Times New Roman" w:eastAsia="黑体" w:hAnsi="Times New Roman" w:cs="Times New Roman"/>
          <w:color w:val="auto"/>
          <w:spacing w:val="7"/>
          <w:sz w:val="32"/>
          <w:szCs w:val="32"/>
          <w:lang w:eastAsia="zh-CN"/>
        </w:rPr>
        <w:t>规划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1、</w:t>
      </w:r>
      <w:r w:rsidR="00F4197A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空间</w:t>
      </w: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结构</w:t>
      </w:r>
    </w:p>
    <w:p w:rsidR="004D48FB" w:rsidRPr="00584C82" w:rsidRDefault="00E0479D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</w:t>
      </w:r>
      <w:r w:rsidR="001D15B8" w:rsidRPr="00584C82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镇区</w:t>
      </w:r>
      <w:r w:rsidR="001D15B8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规划形成</w:t>
      </w:r>
      <w:r w:rsidR="001D15B8"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“</w:t>
      </w:r>
      <w:r w:rsidR="00F4197A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一轴两带、两心三区</w:t>
      </w:r>
      <w:r w:rsidR="001D15B8" w:rsidRPr="00584C82">
        <w:rPr>
          <w:rFonts w:ascii="Times New Roman" w:eastAsia="仿宋_GB2312" w:hAnsi="Times New Roman" w:cs="Times New Roman" w:hint="eastAsia"/>
          <w:b/>
          <w:bCs/>
          <w:color w:val="auto"/>
          <w:sz w:val="28"/>
          <w:szCs w:val="28"/>
          <w:lang w:eastAsia="zh-CN"/>
        </w:rPr>
        <w:t>”</w:t>
      </w:r>
      <w:r w:rsidR="001D15B8" w:rsidRPr="00584C82"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  <w:t>的空间结构。</w:t>
      </w:r>
    </w:p>
    <w:p w:rsidR="00E0479D" w:rsidRPr="00F4197A" w:rsidRDefault="00F4197A" w:rsidP="00F4197A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F4197A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一轴：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指沿新城大道形成东西向联系的城镇发展轴；</w:t>
      </w:r>
    </w:p>
    <w:p w:rsidR="00E0479D" w:rsidRDefault="00F4197A" w:rsidP="00F4197A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F4197A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两带：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分别是指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镇区北侧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沿赣韶铁路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及其复线形成的生态防护景观</w:t>
      </w:r>
      <w:r w:rsidR="000442F8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带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、镇区南</w:t>
      </w:r>
      <w:bookmarkStart w:id="0" w:name="_GoBack"/>
      <w:bookmarkEnd w:id="0"/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侧沿章江形成的滨水</w:t>
      </w:r>
      <w:r w:rsidR="00B46E4E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休闲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景观带；</w:t>
      </w:r>
    </w:p>
    <w:p w:rsidR="00F4197A" w:rsidRDefault="00F4197A" w:rsidP="00F4197A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两</w:t>
      </w:r>
      <w:r w:rsidRPr="00F4197A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心：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分别是镇区综合服务中心、</w:t>
      </w:r>
      <w:r w:rsidR="00B46E4E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产业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服务中心；</w:t>
      </w:r>
    </w:p>
    <w:p w:rsidR="00F4197A" w:rsidRPr="00F4197A" w:rsidRDefault="00F4197A" w:rsidP="00F4197A">
      <w:pPr>
        <w:kinsoku/>
        <w:overflowPunct w:val="0"/>
        <w:spacing w:line="360" w:lineRule="auto"/>
        <w:ind w:firstLineChars="200" w:firstLine="562"/>
        <w:rPr>
          <w:rFonts w:ascii="Times New Roman" w:eastAsia="仿宋_GB2312" w:hAnsi="Times New Roman" w:cs="Times New Roman"/>
          <w:b/>
          <w:color w:val="auto"/>
          <w:sz w:val="28"/>
          <w:szCs w:val="28"/>
          <w:lang w:eastAsia="zh-CN"/>
        </w:rPr>
      </w:pPr>
      <w:r w:rsidRPr="00F4197A">
        <w:rPr>
          <w:rFonts w:ascii="Times New Roman" w:eastAsia="仿宋_GB2312" w:hAnsi="Times New Roman" w:cs="Times New Roman" w:hint="eastAsia"/>
          <w:b/>
          <w:color w:val="auto"/>
          <w:sz w:val="28"/>
          <w:szCs w:val="28"/>
          <w:lang w:eastAsia="zh-CN"/>
        </w:rPr>
        <w:t>三区：</w:t>
      </w:r>
      <w:r w:rsidRPr="00F4197A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分别是</w:t>
      </w:r>
      <w:r w:rsidR="004A79BB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城镇综合发展区、商贸物流</w:t>
      </w:r>
      <w:r w:rsidR="00B46E4E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服务</w:t>
      </w:r>
      <w:r w:rsidR="004A79BB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区、新城工业小区。</w:t>
      </w:r>
    </w:p>
    <w:p w:rsidR="004D48FB" w:rsidRPr="00584C82" w:rsidRDefault="001D15B8">
      <w:pPr>
        <w:pStyle w:val="a7"/>
        <w:spacing w:before="240" w:after="240"/>
        <w:ind w:firstLineChars="200" w:firstLine="648"/>
        <w:outlineLvl w:val="1"/>
        <w:rPr>
          <w:b/>
          <w:bCs/>
          <w:color w:val="auto"/>
          <w:spacing w:val="3"/>
          <w:sz w:val="32"/>
          <w:szCs w:val="32"/>
          <w:lang w:eastAsia="zh-CN"/>
        </w:rPr>
      </w:pPr>
      <w:r w:rsidRPr="00584C82">
        <w:rPr>
          <w:rFonts w:hint="eastAsia"/>
          <w:b/>
          <w:bCs/>
          <w:color w:val="auto"/>
          <w:spacing w:val="3"/>
          <w:sz w:val="32"/>
          <w:szCs w:val="32"/>
          <w:lang w:eastAsia="zh-CN"/>
        </w:rPr>
        <w:t>2、用地布局</w:t>
      </w:r>
    </w:p>
    <w:p w:rsidR="009E1760" w:rsidRDefault="009E1760" w:rsidP="009E1760">
      <w:pPr>
        <w:kinsoku/>
        <w:overflowPunct w:val="0"/>
        <w:spacing w:line="360" w:lineRule="auto"/>
        <w:ind w:firstLineChars="200" w:firstLine="560"/>
        <w:rPr>
          <w:rFonts w:ascii="Times New Roman" w:eastAsia="仿宋_GB2312" w:hAnsi="Times New Roman" w:cs="Times New Roman"/>
          <w:color w:val="auto"/>
          <w:sz w:val="28"/>
          <w:szCs w:val="28"/>
          <w:lang w:eastAsia="zh-CN"/>
        </w:rPr>
      </w:pP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规划至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2035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年，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新城镇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镇区城镇开发边界内建设用地面积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461.57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公顷。其中居住用地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169.78</w:t>
      </w:r>
      <w:r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公顷，公共管理与公共服务用地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21.18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公顷，商业服务业用地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24.29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工业用地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142.33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交通运输用地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64.37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公顷，公用设施用地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4.46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公顷，绿地与开敞空间用地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21.02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，混合用地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14.14</w:t>
      </w:r>
      <w:r w:rsidR="004C6026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公顷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。</w:t>
      </w:r>
    </w:p>
    <w:p w:rsidR="00E0479D" w:rsidRPr="00584C82" w:rsidRDefault="009E1760" w:rsidP="00B43841">
      <w:pPr>
        <w:kinsoku/>
        <w:overflowPunct w:val="0"/>
        <w:spacing w:line="360" w:lineRule="auto"/>
        <w:ind w:firstLineChars="200" w:firstLine="560"/>
        <w:rPr>
          <w:rFonts w:eastAsiaTheme="minorEastAsia"/>
          <w:color w:val="auto"/>
          <w:lang w:eastAsia="zh-CN"/>
        </w:rPr>
      </w:pP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规划合理配置城镇居住用地规模，重点完善社区和配套服务功能，形成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生活便利、</w:t>
      </w:r>
      <w:r w:rsidR="00ED4C17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配套完善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的居住功能区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。重点完善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文化体育、养老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等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公共设施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，形成镇区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综合服务中心</w:t>
      </w:r>
      <w:r w:rsidRPr="00C51B35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。结合现状水系设置滨水活力空间和活动场地。保留现状主要道路、街巷沿线商业用地。</w:t>
      </w:r>
      <w:r w:rsidR="00A734BC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保留新城工业小区产业发展空间，提出对老镇区老旧厂区进行更新改造</w:t>
      </w:r>
      <w:r w:rsidR="00ED4C17">
        <w:rPr>
          <w:rFonts w:ascii="Times New Roman" w:eastAsia="仿宋_GB2312" w:hAnsi="Times New Roman" w:cs="Times New Roman" w:hint="eastAsia"/>
          <w:color w:val="auto"/>
          <w:sz w:val="28"/>
          <w:szCs w:val="28"/>
          <w:lang w:eastAsia="zh-CN"/>
        </w:rPr>
        <w:t>。</w:t>
      </w:r>
    </w:p>
    <w:sectPr w:rsidR="00E0479D" w:rsidRPr="00584C82" w:rsidSect="00CC0035">
      <w:pgSz w:w="11906" w:h="16839"/>
      <w:pgMar w:top="1431" w:right="1398" w:bottom="1429" w:left="1803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F32E2" w:rsidRDefault="009F32E2">
      <w:pPr>
        <w:spacing w:line="240" w:lineRule="auto"/>
      </w:pPr>
      <w:r>
        <w:separator/>
      </w:r>
    </w:p>
  </w:endnote>
  <w:endnote w:type="continuationSeparator" w:id="0">
    <w:p w:rsidR="009F32E2" w:rsidRDefault="009F32E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F32E2" w:rsidRDefault="009F32E2">
      <w:pPr>
        <w:spacing w:after="0"/>
      </w:pPr>
      <w:r>
        <w:separator/>
      </w:r>
    </w:p>
  </w:footnote>
  <w:footnote w:type="continuationSeparator" w:id="0">
    <w:p w:rsidR="009F32E2" w:rsidRDefault="009F32E2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8571556"/>
    <w:multiLevelType w:val="multilevel"/>
    <w:tmpl w:val="38571556"/>
    <w:lvl w:ilvl="0">
      <w:start w:val="1"/>
      <w:numFmt w:val="chineseCountingThousand"/>
      <w:pStyle w:val="a"/>
      <w:suff w:val="nothing"/>
      <w:lvlText w:val="%1、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32"/>
      </w:rPr>
    </w:lvl>
    <w:lvl w:ilvl="1">
      <w:start w:val="1"/>
      <w:numFmt w:val="chineseCountingThousand"/>
      <w:pStyle w:val="a0"/>
      <w:suff w:val="nothing"/>
      <w:lvlText w:val="（%2）"/>
      <w:lvlJc w:val="left"/>
      <w:pPr>
        <w:ind w:left="0" w:firstLine="0"/>
      </w:pPr>
      <w:rPr>
        <w:rFonts w:ascii="Times New Roman" w:eastAsia="楷体" w:hAnsi="Times New Roman" w:hint="default"/>
        <w:b/>
        <w:i w:val="0"/>
        <w:sz w:val="32"/>
      </w:rPr>
    </w:lvl>
    <w:lvl w:ilvl="2">
      <w:start w:val="1"/>
      <w:numFmt w:val="decimal"/>
      <w:pStyle w:val="a1"/>
      <w:suff w:val="nothing"/>
      <w:lvlText w:val="%3、"/>
      <w:lvlJc w:val="left"/>
      <w:pPr>
        <w:ind w:left="0" w:firstLine="0"/>
      </w:pPr>
      <w:rPr>
        <w:rFonts w:ascii="Times New Roman" w:eastAsia="仿宋_GB2312" w:hAnsi="Times New Roman" w:hint="default"/>
        <w:b w:val="0"/>
        <w:i w:val="0"/>
        <w:sz w:val="32"/>
        <w:szCs w:val="24"/>
      </w:rPr>
    </w:lvl>
    <w:lvl w:ilvl="3">
      <w:start w:val="1"/>
      <w:numFmt w:val="decimal"/>
      <w:lvlRestart w:val="0"/>
      <w:suff w:val="space"/>
      <w:lvlText w:val="表%4"/>
      <w:lvlJc w:val="left"/>
      <w:pPr>
        <w:ind w:left="0" w:firstLine="0"/>
      </w:pPr>
      <w:rPr>
        <w:rFonts w:hint="eastAsia"/>
        <w:b/>
        <w:i w:val="0"/>
        <w:sz w:val="21"/>
      </w:rPr>
    </w:lvl>
    <w:lvl w:ilvl="4">
      <w:start w:val="1"/>
      <w:numFmt w:val="decimal"/>
      <w:lvlRestart w:val="0"/>
      <w:suff w:val="space"/>
      <w:lvlText w:val="图%5"/>
      <w:lvlJc w:val="left"/>
      <w:pPr>
        <w:ind w:left="0" w:firstLine="0"/>
      </w:pPr>
      <w:rPr>
        <w:rFonts w:hint="eastAsia"/>
        <w:b/>
        <w:i w:val="0"/>
        <w:sz w:val="21"/>
      </w:rPr>
    </w:lvl>
    <w:lvl w:ilvl="5">
      <w:start w:val="1"/>
      <w:numFmt w:val="decimal"/>
      <w:lvlText w:val="5.4.2.%6"/>
      <w:lvlJc w:val="left"/>
      <w:pPr>
        <w:ind w:left="0" w:firstLine="0"/>
      </w:pPr>
      <w:rPr>
        <w:rFonts w:eastAsia="Arial Unicode MS" w:hint="eastAsia"/>
      </w:rPr>
    </w:lvl>
    <w:lvl w:ilvl="6">
      <w:start w:val="1"/>
      <w:numFmt w:val="decimal"/>
      <w:lvlText w:val="%1.%2.%3.%4.%5.%6.%7"/>
      <w:lvlJc w:val="left"/>
      <w:pPr>
        <w:ind w:left="0" w:firstLine="0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0" w:firstLine="0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0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dlNDUzZmQwYzlhYjgyZjJkYTQ3NmUxM2IyNmEzNzAifQ=="/>
  </w:docVars>
  <w:rsids>
    <w:rsidRoot w:val="00525CFD"/>
    <w:rsid w:val="00001B88"/>
    <w:rsid w:val="000051D9"/>
    <w:rsid w:val="0001503A"/>
    <w:rsid w:val="000353F7"/>
    <w:rsid w:val="000442F8"/>
    <w:rsid w:val="000469C9"/>
    <w:rsid w:val="00054E69"/>
    <w:rsid w:val="000B54E6"/>
    <w:rsid w:val="000C38BC"/>
    <w:rsid w:val="000C5C01"/>
    <w:rsid w:val="000E1389"/>
    <w:rsid w:val="000F7F51"/>
    <w:rsid w:val="00162B89"/>
    <w:rsid w:val="00165F41"/>
    <w:rsid w:val="001A0480"/>
    <w:rsid w:val="001D15B8"/>
    <w:rsid w:val="001D45F1"/>
    <w:rsid w:val="001F2FEB"/>
    <w:rsid w:val="00200F94"/>
    <w:rsid w:val="00213DB7"/>
    <w:rsid w:val="00216447"/>
    <w:rsid w:val="00220F56"/>
    <w:rsid w:val="00233199"/>
    <w:rsid w:val="002539D2"/>
    <w:rsid w:val="00284E35"/>
    <w:rsid w:val="002A5AF1"/>
    <w:rsid w:val="002B14FF"/>
    <w:rsid w:val="00385674"/>
    <w:rsid w:val="00386572"/>
    <w:rsid w:val="00387796"/>
    <w:rsid w:val="003B67D5"/>
    <w:rsid w:val="00400FCA"/>
    <w:rsid w:val="00416747"/>
    <w:rsid w:val="00425DB0"/>
    <w:rsid w:val="00435DD3"/>
    <w:rsid w:val="004672B2"/>
    <w:rsid w:val="00470AF6"/>
    <w:rsid w:val="00487049"/>
    <w:rsid w:val="004A0854"/>
    <w:rsid w:val="004A79BB"/>
    <w:rsid w:val="004A7BDE"/>
    <w:rsid w:val="004C6026"/>
    <w:rsid w:val="004C6A72"/>
    <w:rsid w:val="004D48FB"/>
    <w:rsid w:val="00515C9C"/>
    <w:rsid w:val="00525CFD"/>
    <w:rsid w:val="00584C82"/>
    <w:rsid w:val="00590077"/>
    <w:rsid w:val="005B263E"/>
    <w:rsid w:val="005C4C28"/>
    <w:rsid w:val="005C604C"/>
    <w:rsid w:val="005E2702"/>
    <w:rsid w:val="005F2135"/>
    <w:rsid w:val="0064523B"/>
    <w:rsid w:val="00673954"/>
    <w:rsid w:val="006C166B"/>
    <w:rsid w:val="00712EB3"/>
    <w:rsid w:val="00760892"/>
    <w:rsid w:val="00793D1A"/>
    <w:rsid w:val="0079696D"/>
    <w:rsid w:val="007A55E7"/>
    <w:rsid w:val="007A7704"/>
    <w:rsid w:val="007B2B75"/>
    <w:rsid w:val="007E4580"/>
    <w:rsid w:val="008244A5"/>
    <w:rsid w:val="008708A8"/>
    <w:rsid w:val="00872215"/>
    <w:rsid w:val="00882031"/>
    <w:rsid w:val="008B00B8"/>
    <w:rsid w:val="008D0DBC"/>
    <w:rsid w:val="008E02A3"/>
    <w:rsid w:val="008E3AB7"/>
    <w:rsid w:val="009C35C7"/>
    <w:rsid w:val="009D4170"/>
    <w:rsid w:val="009E13BB"/>
    <w:rsid w:val="009E1760"/>
    <w:rsid w:val="009E5BEF"/>
    <w:rsid w:val="009F0C7F"/>
    <w:rsid w:val="009F272F"/>
    <w:rsid w:val="009F32E2"/>
    <w:rsid w:val="00A13157"/>
    <w:rsid w:val="00A203A1"/>
    <w:rsid w:val="00A734BC"/>
    <w:rsid w:val="00A77AAF"/>
    <w:rsid w:val="00A91E68"/>
    <w:rsid w:val="00A92F39"/>
    <w:rsid w:val="00A934F9"/>
    <w:rsid w:val="00AA5DAC"/>
    <w:rsid w:val="00B13874"/>
    <w:rsid w:val="00B43841"/>
    <w:rsid w:val="00B46E4E"/>
    <w:rsid w:val="00B65419"/>
    <w:rsid w:val="00BB0887"/>
    <w:rsid w:val="00BD40D0"/>
    <w:rsid w:val="00C04F4B"/>
    <w:rsid w:val="00C573C1"/>
    <w:rsid w:val="00C63261"/>
    <w:rsid w:val="00C71660"/>
    <w:rsid w:val="00C8191D"/>
    <w:rsid w:val="00C8682E"/>
    <w:rsid w:val="00C92125"/>
    <w:rsid w:val="00CA5D5F"/>
    <w:rsid w:val="00CC0035"/>
    <w:rsid w:val="00CF2746"/>
    <w:rsid w:val="00D25948"/>
    <w:rsid w:val="00D35968"/>
    <w:rsid w:val="00D42F4A"/>
    <w:rsid w:val="00D56339"/>
    <w:rsid w:val="00DB0882"/>
    <w:rsid w:val="00E0479D"/>
    <w:rsid w:val="00E31C3E"/>
    <w:rsid w:val="00E4130A"/>
    <w:rsid w:val="00E51737"/>
    <w:rsid w:val="00ED0C5E"/>
    <w:rsid w:val="00ED4C17"/>
    <w:rsid w:val="00EF0466"/>
    <w:rsid w:val="00F4197A"/>
    <w:rsid w:val="00F42832"/>
    <w:rsid w:val="00F6385B"/>
    <w:rsid w:val="00FA0761"/>
    <w:rsid w:val="00FF0776"/>
    <w:rsid w:val="01C761D7"/>
    <w:rsid w:val="031C07A5"/>
    <w:rsid w:val="096915D0"/>
    <w:rsid w:val="09970B85"/>
    <w:rsid w:val="0B77459F"/>
    <w:rsid w:val="0C182F1C"/>
    <w:rsid w:val="11911006"/>
    <w:rsid w:val="11CF7EA5"/>
    <w:rsid w:val="12257ED3"/>
    <w:rsid w:val="140964A2"/>
    <w:rsid w:val="142A67B4"/>
    <w:rsid w:val="192A4E7C"/>
    <w:rsid w:val="19C640DB"/>
    <w:rsid w:val="1A1B0C0E"/>
    <w:rsid w:val="1B3E5651"/>
    <w:rsid w:val="205A0F63"/>
    <w:rsid w:val="23610EFF"/>
    <w:rsid w:val="24AC3962"/>
    <w:rsid w:val="292A6DF7"/>
    <w:rsid w:val="2D6C1DFC"/>
    <w:rsid w:val="2DF576A0"/>
    <w:rsid w:val="32882D2A"/>
    <w:rsid w:val="388C6642"/>
    <w:rsid w:val="393A7800"/>
    <w:rsid w:val="39A23BE9"/>
    <w:rsid w:val="3CE25F1F"/>
    <w:rsid w:val="3D0C5F6A"/>
    <w:rsid w:val="4047518E"/>
    <w:rsid w:val="41911D83"/>
    <w:rsid w:val="421E13F9"/>
    <w:rsid w:val="42962115"/>
    <w:rsid w:val="47084895"/>
    <w:rsid w:val="49383070"/>
    <w:rsid w:val="4A083129"/>
    <w:rsid w:val="4A0A4905"/>
    <w:rsid w:val="4F1F6A86"/>
    <w:rsid w:val="4FD578CB"/>
    <w:rsid w:val="4FEB74AC"/>
    <w:rsid w:val="53AC2FEA"/>
    <w:rsid w:val="53EF2378"/>
    <w:rsid w:val="57917F8F"/>
    <w:rsid w:val="58B53004"/>
    <w:rsid w:val="5ABB4F2E"/>
    <w:rsid w:val="5BA22A3F"/>
    <w:rsid w:val="5CCF336E"/>
    <w:rsid w:val="5CE84AF5"/>
    <w:rsid w:val="5F9D4AAC"/>
    <w:rsid w:val="60520A30"/>
    <w:rsid w:val="61F62B8D"/>
    <w:rsid w:val="62E95227"/>
    <w:rsid w:val="63BD1342"/>
    <w:rsid w:val="649317EA"/>
    <w:rsid w:val="650F65D3"/>
    <w:rsid w:val="668C1346"/>
    <w:rsid w:val="688B56F0"/>
    <w:rsid w:val="70135DBC"/>
    <w:rsid w:val="74676DF5"/>
    <w:rsid w:val="785051F3"/>
    <w:rsid w:val="78775E6F"/>
    <w:rsid w:val="78870587"/>
    <w:rsid w:val="791A76DD"/>
    <w:rsid w:val="79E00C9B"/>
    <w:rsid w:val="7E0B38CE"/>
    <w:rsid w:val="7F754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efaultImageDpi w14:val="330"/>
  <w15:docId w15:val="{9A17D392-E6ED-47A0-8BEC-B46B5E433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uiPriority="99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Body Text" w:semiHidden="1" w:qFormat="1"/>
    <w:lsdException w:name="Subtitle" w:qFormat="1"/>
    <w:lsdException w:name="Body Text Indent 2" w:uiPriority="99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next w:val="a3"/>
    <w:semiHidden/>
    <w:qFormat/>
    <w:pPr>
      <w:kinsoku w:val="0"/>
      <w:autoSpaceDE w:val="0"/>
      <w:autoSpaceDN w:val="0"/>
      <w:adjustRightInd w:val="0"/>
      <w:snapToGrid w:val="0"/>
      <w:spacing w:after="160" w:line="278" w:lineRule="auto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4">
    <w:name w:val="Default Paragraph Font"/>
    <w:uiPriority w:val="1"/>
    <w:semiHidden/>
    <w:unhideWhenUsed/>
  </w:style>
  <w:style w:type="table" w:default="1" w:styleId="a5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6">
    <w:name w:val="No List"/>
    <w:uiPriority w:val="99"/>
    <w:semiHidden/>
    <w:unhideWhenUsed/>
  </w:style>
  <w:style w:type="paragraph" w:styleId="a3">
    <w:name w:val="Normal Indent"/>
    <w:basedOn w:val="a2"/>
    <w:next w:val="a2"/>
    <w:uiPriority w:val="99"/>
    <w:qFormat/>
    <w:pPr>
      <w:ind w:firstLineChars="200" w:firstLine="200"/>
    </w:pPr>
    <w:rPr>
      <w:sz w:val="24"/>
    </w:rPr>
  </w:style>
  <w:style w:type="paragraph" w:styleId="a7">
    <w:name w:val="Body Text"/>
    <w:basedOn w:val="a2"/>
    <w:link w:val="a8"/>
    <w:semiHidden/>
    <w:qFormat/>
    <w:rPr>
      <w:rFonts w:ascii="仿宋" w:eastAsia="仿宋" w:hAnsi="仿宋" w:cs="仿宋"/>
      <w:sz w:val="28"/>
      <w:szCs w:val="28"/>
    </w:rPr>
  </w:style>
  <w:style w:type="paragraph" w:styleId="2">
    <w:name w:val="Body Text Indent 2"/>
    <w:basedOn w:val="a2"/>
    <w:uiPriority w:val="99"/>
    <w:qFormat/>
    <w:pPr>
      <w:spacing w:after="120" w:line="480" w:lineRule="auto"/>
      <w:ind w:leftChars="200" w:left="420"/>
    </w:pPr>
  </w:style>
  <w:style w:type="paragraph" w:styleId="a9">
    <w:name w:val="footer"/>
    <w:basedOn w:val="a2"/>
    <w:qFormat/>
    <w:pPr>
      <w:tabs>
        <w:tab w:val="center" w:pos="4153"/>
        <w:tab w:val="right" w:pos="8306"/>
      </w:tabs>
    </w:pPr>
    <w:rPr>
      <w:sz w:val="18"/>
    </w:rPr>
  </w:style>
  <w:style w:type="paragraph" w:styleId="aa">
    <w:name w:val="header"/>
    <w:basedOn w:val="a2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paragraph" w:styleId="ab">
    <w:name w:val="Normal (Web)"/>
    <w:basedOn w:val="a2"/>
    <w:uiPriority w:val="99"/>
    <w:unhideWhenUsed/>
    <w:qFormat/>
    <w:pPr>
      <w:kinsoku/>
      <w:autoSpaceDE/>
      <w:autoSpaceDN/>
      <w:adjustRightInd/>
      <w:snapToGrid/>
      <w:spacing w:before="100" w:beforeAutospacing="1" w:after="100" w:afterAutospacing="1"/>
      <w:textAlignment w:val="auto"/>
    </w:pPr>
    <w:rPr>
      <w:rFonts w:ascii="宋体" w:eastAsia="宋体" w:hAnsi="宋体" w:cs="宋体"/>
      <w:snapToGrid/>
      <w:color w:val="auto"/>
      <w:sz w:val="24"/>
      <w:szCs w:val="24"/>
      <w:lang w:eastAsia="zh-CN"/>
    </w:rPr>
  </w:style>
  <w:style w:type="character" w:styleId="ac">
    <w:name w:val="Strong"/>
    <w:basedOn w:val="a4"/>
    <w:uiPriority w:val="22"/>
    <w:qFormat/>
    <w:rPr>
      <w:b/>
      <w:bCs/>
    </w:r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8">
    <w:name w:val="正文文本 字符"/>
    <w:basedOn w:val="a4"/>
    <w:link w:val="a7"/>
    <w:semiHidden/>
    <w:qFormat/>
    <w:rPr>
      <w:rFonts w:ascii="仿宋" w:eastAsia="仿宋" w:hAnsi="仿宋" w:cs="仿宋"/>
      <w:snapToGrid w:val="0"/>
      <w:color w:val="000000"/>
      <w:sz w:val="28"/>
      <w:szCs w:val="28"/>
      <w:lang w:eastAsia="en-US"/>
    </w:rPr>
  </w:style>
  <w:style w:type="paragraph" w:styleId="ad">
    <w:name w:val="List Paragraph"/>
    <w:basedOn w:val="a2"/>
    <w:uiPriority w:val="34"/>
    <w:qFormat/>
    <w:pPr>
      <w:kinsoku/>
      <w:autoSpaceDE/>
      <w:autoSpaceDN/>
      <w:adjustRightInd/>
      <w:snapToGrid/>
      <w:spacing w:after="0" w:line="240" w:lineRule="auto"/>
      <w:ind w:firstLineChars="200" w:firstLine="420"/>
      <w:textAlignment w:val="auto"/>
    </w:pPr>
    <w:rPr>
      <w:rFonts w:ascii="宋体" w:eastAsia="宋体" w:hAnsi="宋体" w:cs="宋体"/>
      <w:snapToGrid/>
      <w:color w:val="auto"/>
      <w:sz w:val="24"/>
      <w:szCs w:val="24"/>
      <w:lang w:eastAsia="zh-CN"/>
    </w:rPr>
  </w:style>
  <w:style w:type="paragraph" w:customStyle="1" w:styleId="a">
    <w:name w:val="一级标题"/>
    <w:next w:val="a0"/>
    <w:qFormat/>
    <w:pPr>
      <w:keepNext/>
      <w:numPr>
        <w:numId w:val="1"/>
      </w:numPr>
      <w:spacing w:line="720" w:lineRule="exact"/>
      <w:outlineLvl w:val="0"/>
    </w:pPr>
    <w:rPr>
      <w:rFonts w:eastAsia="黑体" w:cs="黑体"/>
      <w:bCs/>
      <w:kern w:val="32"/>
      <w:sz w:val="32"/>
      <w:szCs w:val="32"/>
      <w:lang w:val="zh-CN" w:bidi="en-US"/>
    </w:rPr>
  </w:style>
  <w:style w:type="paragraph" w:customStyle="1" w:styleId="a0">
    <w:name w:val="二级标题"/>
    <w:next w:val="a1"/>
    <w:qFormat/>
    <w:pPr>
      <w:keepNext/>
      <w:keepLines/>
      <w:numPr>
        <w:ilvl w:val="1"/>
        <w:numId w:val="1"/>
      </w:numPr>
      <w:spacing w:line="640" w:lineRule="exact"/>
      <w:contextualSpacing/>
      <w:outlineLvl w:val="1"/>
    </w:pPr>
    <w:rPr>
      <w:rFonts w:cs="黑体"/>
      <w:b/>
      <w:bCs/>
      <w:kern w:val="2"/>
      <w:sz w:val="28"/>
      <w:szCs w:val="30"/>
      <w:lang w:bidi="en-US"/>
    </w:rPr>
  </w:style>
  <w:style w:type="paragraph" w:customStyle="1" w:styleId="a1">
    <w:name w:val="三级标题"/>
    <w:next w:val="a2"/>
    <w:qFormat/>
    <w:pPr>
      <w:keepLines/>
      <w:numPr>
        <w:ilvl w:val="2"/>
        <w:numId w:val="1"/>
      </w:numPr>
      <w:spacing w:line="640" w:lineRule="exact"/>
      <w:ind w:leftChars="150" w:left="150"/>
      <w:contextualSpacing/>
      <w:outlineLvl w:val="2"/>
    </w:pPr>
    <w:rPr>
      <w:rFonts w:eastAsia="仿宋_GB2312" w:cs="黑体"/>
      <w:bCs/>
      <w:kern w:val="2"/>
      <w:sz w:val="32"/>
      <w:szCs w:val="28"/>
      <w:lang w:bidi="en-US"/>
    </w:rPr>
  </w:style>
  <w:style w:type="paragraph" w:customStyle="1" w:styleId="NewNewNew">
    <w:name w:val="正文 New New New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customStyle="1" w:styleId="sheet">
    <w:name w:val="sheet 字符"/>
    <w:link w:val="sheet0"/>
    <w:locked/>
    <w:rsid w:val="00054E69"/>
    <w:rPr>
      <w:rFonts w:ascii="仿宋" w:eastAsia="仿宋_GB2312" w:hAnsi="仿宋" w:cs="仿宋"/>
      <w:spacing w:val="10"/>
      <w:kern w:val="2"/>
      <w:sz w:val="28"/>
      <w:szCs w:val="32"/>
    </w:rPr>
  </w:style>
  <w:style w:type="paragraph" w:customStyle="1" w:styleId="sheet0">
    <w:name w:val="sheet"/>
    <w:basedOn w:val="a2"/>
    <w:link w:val="sheet"/>
    <w:qFormat/>
    <w:rsid w:val="00054E69"/>
    <w:pPr>
      <w:widowControl w:val="0"/>
      <w:kinsoku/>
      <w:autoSpaceDE/>
      <w:autoSpaceDN/>
      <w:adjustRightInd/>
      <w:snapToGrid/>
      <w:spacing w:after="0" w:line="520" w:lineRule="exact"/>
      <w:jc w:val="both"/>
      <w:textAlignment w:val="auto"/>
    </w:pPr>
    <w:rPr>
      <w:rFonts w:ascii="仿宋" w:eastAsia="仿宋_GB2312" w:hAnsi="仿宋" w:cs="仿宋"/>
      <w:snapToGrid/>
      <w:color w:val="auto"/>
      <w:spacing w:val="10"/>
      <w:kern w:val="2"/>
      <w:sz w:val="28"/>
      <w:szCs w:val="32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8005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5F529E-DFBA-4182-9743-C76BA58F8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1294</TotalTime>
  <Pages>4</Pages>
  <Words>300</Words>
  <Characters>1713</Characters>
  <Application>Microsoft Office Word</Application>
  <DocSecurity>0</DocSecurity>
  <Lines>14</Lines>
  <Paragraphs>4</Paragraphs>
  <ScaleCrop>false</ScaleCrop>
  <Company>Microsoft</Company>
  <LinksUpToDate>false</LinksUpToDate>
  <CharactersWithSpaces>2009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Lzy</dc:creator>
  <cp:lastModifiedBy>HML</cp:lastModifiedBy>
  <cp:revision>28</cp:revision>
  <dcterms:created xsi:type="dcterms:W3CDTF">2025-08-27T08:35:00Z</dcterms:created>
  <dcterms:modified xsi:type="dcterms:W3CDTF">2025-09-02T06:34:00Z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2024-10-24T11:17:18Z</vt:filetime>
  </property>
  <property fmtid="{D5CDD505-2E9C-101B-9397-08002B2CF9AE}" pid="4" name="KSOProductBuildVer">
    <vt:lpwstr>2052-12.1.0.15990</vt:lpwstr>
  </property>
  <property fmtid="{D5CDD505-2E9C-101B-9397-08002B2CF9AE}" pid="5" name="ICV">
    <vt:lpwstr>DA90E8DF4B6C4D3EA5033D35ABAD7C8B_12</vt:lpwstr>
  </property>
  <property fmtid="{D5CDD505-2E9C-101B-9397-08002B2CF9AE}" pid="6" name="KSOTemplateDocerSaveRecord">
    <vt:lpwstr>eyJoZGlkIjoiOTVlNGNjNzMwYzIxMjAyODE0MTI1ODliZGYzZGYyYTQiLCJ1c2VySWQiOiIyNTkzNjMwNDQifQ==</vt:lpwstr>
  </property>
</Properties>
</file>