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ind w:firstLine="0" w:firstLineChars="0"/>
        <w:jc w:val="left"/>
        <w:rPr>
          <w:rFonts w:hint="eastAsia" w:ascii="仿宋_GB2312" w:hAnsi="黑体" w:eastAsia="仿宋_GB2312" w:cs="Times New Roman"/>
          <w:sz w:val="32"/>
          <w:szCs w:val="32"/>
          <w:lang w:eastAsia="zh-CN"/>
        </w:rPr>
      </w:pPr>
      <w:r>
        <w:rPr>
          <w:rFonts w:hint="eastAsia" w:ascii="仿宋_GB2312" w:hAnsi="黑体" w:cs="Times New Roman"/>
          <w:sz w:val="32"/>
          <w:szCs w:val="32"/>
        </w:rPr>
        <w:t>附件</w:t>
      </w:r>
      <w:r>
        <w:rPr>
          <w:rFonts w:hint="eastAsia" w:ascii="仿宋_GB2312" w:hAnsi="黑体" w:cs="Times New Roman"/>
          <w:sz w:val="32"/>
          <w:szCs w:val="32"/>
          <w:lang w:val="en-US" w:eastAsia="zh-CN"/>
        </w:rPr>
        <w:t>2</w:t>
      </w:r>
    </w:p>
    <w:p>
      <w:pPr>
        <w:widowControl w:val="0"/>
        <w:ind w:firstLine="0" w:firstLineChars="0"/>
        <w:jc w:val="center"/>
        <w:rPr>
          <w:rFonts w:hint="eastAsia" w:ascii="黑体" w:hAnsi="黑体" w:eastAsia="黑体" w:cs="Times New Roman"/>
          <w:spacing w:val="-20"/>
          <w:sz w:val="44"/>
          <w:szCs w:val="44"/>
          <w:lang w:eastAsia="zh-CN"/>
        </w:rPr>
      </w:pPr>
      <w:r>
        <w:rPr>
          <w:rFonts w:hint="eastAsia" w:ascii="黑体" w:hAnsi="黑体" w:eastAsia="黑体" w:cs="Times New Roman"/>
          <w:spacing w:val="-20"/>
          <w:sz w:val="44"/>
          <w:szCs w:val="44"/>
          <w:lang w:eastAsia="zh-CN"/>
        </w:rPr>
        <w:t>大余县2019年度中央财政水利发展资金绩效</w:t>
      </w:r>
    </w:p>
    <w:p>
      <w:pPr>
        <w:widowControl w:val="0"/>
        <w:ind w:firstLine="0" w:firstLineChars="0"/>
        <w:jc w:val="center"/>
        <w:rPr>
          <w:rFonts w:ascii="黑体" w:hAnsi="黑体" w:eastAsia="黑体" w:cs="Times New Roman"/>
          <w:spacing w:val="-20"/>
          <w:sz w:val="44"/>
          <w:szCs w:val="44"/>
        </w:rPr>
      </w:pPr>
      <w:r>
        <w:rPr>
          <w:rFonts w:hint="eastAsia" w:ascii="黑体" w:hAnsi="黑体" w:eastAsia="黑体" w:cs="Times New Roman"/>
          <w:spacing w:val="-20"/>
          <w:sz w:val="44"/>
          <w:szCs w:val="44"/>
          <w:lang w:eastAsia="zh-CN"/>
        </w:rPr>
        <w:t>自评报告</w:t>
      </w:r>
    </w:p>
    <w:p>
      <w:pPr>
        <w:pageBreakBefore w:val="0"/>
        <w:widowControl w:val="0"/>
        <w:kinsoku/>
        <w:wordWrap/>
        <w:overflowPunct/>
        <w:topLinePunct w:val="0"/>
        <w:autoSpaceDE/>
        <w:autoSpaceDN/>
        <w:bidi w:val="0"/>
        <w:adjustRightInd/>
        <w:snapToGrid/>
        <w:spacing w:line="560" w:lineRule="exact"/>
        <w:ind w:firstLine="640"/>
        <w:jc w:val="center"/>
        <w:textAlignment w:val="auto"/>
        <w:rPr>
          <w:rFonts w:cs="Times New Roman"/>
          <w:sz w:val="32"/>
          <w:szCs w:val="32"/>
        </w:rPr>
      </w:pPr>
    </w:p>
    <w:p>
      <w:pPr>
        <w:pStyle w:val="2"/>
        <w:pageBreakBefore w:val="0"/>
        <w:widowControl w:val="0"/>
        <w:kinsoku/>
        <w:wordWrap/>
        <w:overflowPunct/>
        <w:topLinePunct w:val="0"/>
        <w:autoSpaceDE/>
        <w:autoSpaceDN/>
        <w:bidi w:val="0"/>
        <w:adjustRightInd/>
        <w:snapToGrid/>
        <w:spacing w:line="560" w:lineRule="exact"/>
        <w:ind w:firstLine="640"/>
        <w:textAlignment w:val="auto"/>
        <w:rPr>
          <w:rFonts w:ascii="黑体" w:hAnsi="黑体" w:eastAsia="黑体" w:cs="Times New Roman"/>
          <w:b w:val="0"/>
          <w:bCs w:val="0"/>
          <w:sz w:val="32"/>
        </w:rPr>
      </w:pPr>
      <w:r>
        <w:rPr>
          <w:rFonts w:hint="eastAsia" w:ascii="黑体" w:hAnsi="黑体" w:eastAsia="黑体" w:cs="Times New Roman"/>
          <w:b w:val="0"/>
          <w:bCs w:val="0"/>
          <w:sz w:val="32"/>
        </w:rPr>
        <w:t>一、概述</w:t>
      </w:r>
    </w:p>
    <w:p>
      <w:pPr>
        <w:pStyle w:val="3"/>
        <w:pageBreakBefore w:val="0"/>
        <w:widowControl w:val="0"/>
        <w:kinsoku/>
        <w:wordWrap/>
        <w:overflowPunct/>
        <w:topLinePunct w:val="0"/>
        <w:autoSpaceDE/>
        <w:autoSpaceDN/>
        <w:bidi w:val="0"/>
        <w:adjustRightInd/>
        <w:snapToGrid/>
        <w:spacing w:line="560" w:lineRule="exact"/>
        <w:ind w:firstLine="640"/>
        <w:textAlignment w:val="auto"/>
        <w:rPr>
          <w:rFonts w:hint="eastAsia" w:ascii="楷体" w:hAnsi="楷体" w:eastAsia="楷体" w:cs="Times New Roman"/>
          <w:bCs w:val="0"/>
          <w:sz w:val="32"/>
        </w:rPr>
      </w:pPr>
      <w:r>
        <w:rPr>
          <w:rFonts w:hint="eastAsia" w:ascii="楷体" w:hAnsi="楷体" w:eastAsia="楷体" w:cs="Times New Roman"/>
          <w:bCs w:val="0"/>
          <w:sz w:val="32"/>
        </w:rPr>
        <w:t>（一）水利发展资金预算</w:t>
      </w:r>
      <w:r>
        <w:rPr>
          <w:rFonts w:ascii="楷体" w:hAnsi="楷体" w:eastAsia="楷体" w:cs="Times New Roman"/>
          <w:bCs w:val="0"/>
          <w:sz w:val="32"/>
        </w:rPr>
        <w:t>和</w:t>
      </w:r>
      <w:r>
        <w:rPr>
          <w:rFonts w:hint="eastAsia" w:ascii="楷体" w:hAnsi="楷体" w:eastAsia="楷体" w:cs="Times New Roman"/>
          <w:bCs w:val="0"/>
          <w:sz w:val="32"/>
        </w:rPr>
        <w:t>绩效目标情况</w:t>
      </w:r>
    </w:p>
    <w:p>
      <w:pPr>
        <w:pStyle w:val="3"/>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大余县2019年度中央财政水利发展资金项目共落实资金2442.64万元，其中：中央财政水利发展资金2273万元，省级资金168.34万元，其他资金1.3万元。按项目可分为：</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重点中型灌区节水配套改造：重点中型灌区节水配套改造本年度落实资金1840万元，其中中央财政水利发展资金1700万元</w:t>
      </w:r>
      <w:r>
        <w:rPr>
          <w:rFonts w:hint="eastAsia" w:ascii="仿宋" w:hAnsi="仿宋" w:eastAsia="仿宋" w:cs="仿宋"/>
          <w:sz w:val="30"/>
          <w:szCs w:val="30"/>
          <w:highlight w:val="none"/>
          <w:lang w:val="en-US" w:eastAsia="zh-CN"/>
        </w:rPr>
        <w:t>（赣水规计字[2019]9号</w:t>
      </w:r>
      <w:r>
        <w:rPr>
          <w:rFonts w:hint="eastAsia" w:ascii="仿宋" w:hAnsi="仿宋" w:eastAsia="仿宋" w:cs="仿宋"/>
          <w:color w:val="auto"/>
          <w:sz w:val="30"/>
          <w:szCs w:val="30"/>
          <w:highlight w:val="none"/>
          <w:lang w:val="en-US" w:eastAsia="zh-CN"/>
        </w:rPr>
        <w:t>）</w:t>
      </w:r>
      <w:r>
        <w:rPr>
          <w:rFonts w:hint="eastAsia" w:ascii="仿宋" w:hAnsi="仿宋" w:eastAsia="仿宋" w:cs="仿宋"/>
          <w:color w:val="auto"/>
          <w:sz w:val="30"/>
          <w:szCs w:val="30"/>
          <w:lang w:val="en-US" w:eastAsia="zh-CN"/>
        </w:rPr>
        <w:t>，项目绩效目</w:t>
      </w:r>
      <w:r>
        <w:rPr>
          <w:rFonts w:hint="eastAsia" w:ascii="仿宋" w:hAnsi="仿宋" w:eastAsia="仿宋" w:cs="仿宋"/>
          <w:sz w:val="30"/>
          <w:szCs w:val="30"/>
          <w:lang w:val="en-US" w:eastAsia="zh-CN"/>
        </w:rPr>
        <w:t>标为1个重点中型灌区节水配套改造。该项目在2019年底完成本年度项目资金计划，完成中央财政水利投资1700万元，实际完成1个重点中型灌区节水配套改造，实现绩效目标值。</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水土保持工程建设：水土保持工程建设本年度落实资金450万元，其中中央财政水利发展资金450万元（赣财农指【2018】76号</w:t>
      </w:r>
      <w:r>
        <w:rPr>
          <w:rFonts w:hint="eastAsia" w:ascii="仿宋" w:hAnsi="仿宋" w:eastAsia="仿宋" w:cs="仿宋"/>
          <w:color w:val="auto"/>
          <w:sz w:val="30"/>
          <w:szCs w:val="30"/>
          <w:lang w:val="en-US" w:eastAsia="zh-CN"/>
        </w:rPr>
        <w:t>），项目绩效目</w:t>
      </w:r>
      <w:r>
        <w:rPr>
          <w:rFonts w:hint="eastAsia" w:ascii="仿宋" w:hAnsi="仿宋" w:eastAsia="仿宋" w:cs="仿宋"/>
          <w:sz w:val="30"/>
          <w:szCs w:val="30"/>
          <w:lang w:val="en-US" w:eastAsia="zh-CN"/>
        </w:rPr>
        <w:t>标为完成治理水土流失面积15平方公里。该项目在2019年底完成本年度项目资金计划，完成中央财政水利投资450万元，实际完成水土流失治理面积15平方公里，实现绩效目标值。</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最严格水资源管理制度考核：最严格水资源管理制度考核本年度落实资金20万元，其中中央财政水利发展资金20万元（赣财农指【2018】76号），项目绩效目标为完成水资源管理与保护。该项目在2019年底完成本年度项目资金计划，完成中央财政水利投资20万元，实际完成水资源管理与保护，实现绩效目标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highlight w:val="none"/>
          <w:lang w:val="en-US" w:eastAsia="zh-CN"/>
        </w:rPr>
        <w:t>4、山洪灾害防治非工程措施：山洪灾害防治非工程措施本年度落实中央财政水利发展资金10万元（</w:t>
      </w:r>
      <w:r>
        <w:rPr>
          <w:rFonts w:hint="eastAsia" w:ascii="仿宋_GB2312" w:hAnsi="仿宋_GB2312" w:eastAsia="仿宋_GB2312" w:cs="仿宋_GB2312"/>
          <w:sz w:val="32"/>
          <w:szCs w:val="32"/>
          <w:lang w:val="en-US" w:eastAsia="zh-CN"/>
        </w:rPr>
        <w:t>赣财农指〔2018〕76号</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赣财农指〔2019〕16号</w:t>
      </w:r>
      <w:r>
        <w:rPr>
          <w:rFonts w:hint="eastAsia" w:ascii="仿宋" w:hAnsi="仿宋" w:eastAsia="仿宋" w:cs="仿宋"/>
          <w:sz w:val="30"/>
          <w:szCs w:val="30"/>
          <w:highlight w:val="none"/>
          <w:lang w:val="en-US" w:eastAsia="zh-CN"/>
        </w:rPr>
        <w:t>），该项目于2019年底全部完成，完成投资10万元，完成县级山洪灾害防治群策群防建设任务：开展县级山洪灾害演练1次，圆满实现预定的绩效目标。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5、农村饮水工程维修养护：农村饮水工程维修养护本年度落实资金41万元，其中中央财政水利发展资</w:t>
      </w:r>
      <w:r>
        <w:rPr>
          <w:rFonts w:hint="eastAsia" w:ascii="仿宋" w:hAnsi="仿宋" w:eastAsia="仿宋" w:cs="仿宋"/>
          <w:sz w:val="30"/>
          <w:szCs w:val="30"/>
          <w:highlight w:val="none"/>
          <w:lang w:val="en-US" w:eastAsia="zh-CN"/>
        </w:rPr>
        <w:t>金32万元（赣水规计字[2019]9号</w:t>
      </w:r>
      <w:r>
        <w:rPr>
          <w:rFonts w:hint="eastAsia" w:ascii="仿宋" w:hAnsi="仿宋" w:eastAsia="仿宋" w:cs="仿宋"/>
          <w:color w:val="auto"/>
          <w:sz w:val="30"/>
          <w:szCs w:val="30"/>
          <w:highlight w:val="none"/>
          <w:lang w:val="en-US" w:eastAsia="zh-CN"/>
        </w:rPr>
        <w:t>），项目绩效目</w:t>
      </w:r>
      <w:r>
        <w:rPr>
          <w:rFonts w:hint="eastAsia" w:ascii="仿宋" w:hAnsi="仿宋" w:eastAsia="仿宋" w:cs="仿宋"/>
          <w:sz w:val="30"/>
          <w:szCs w:val="30"/>
          <w:highlight w:val="none"/>
          <w:lang w:val="en-US" w:eastAsia="zh-CN"/>
        </w:rPr>
        <w:t>标为完成121处农饮</w:t>
      </w:r>
      <w:r>
        <w:rPr>
          <w:rFonts w:hint="eastAsia" w:ascii="仿宋" w:hAnsi="仿宋" w:eastAsia="仿宋" w:cs="仿宋"/>
          <w:sz w:val="30"/>
          <w:szCs w:val="30"/>
          <w:lang w:val="en-US" w:eastAsia="zh-CN"/>
        </w:rPr>
        <w:t>工程涉及8.87万人农饮项目提升。该项目在2019年底完成本年度项目资金计划，完成中央财政水利投资32万元，实际完成121处农饮工程涉及8.87万人农饮项目提升，实现绩效目标值。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6、小型水库工程设施维修养护：小型水库工程设施维修养护本年度落实资金55.34万元，其中中央财政水利发展资金36万元（</w:t>
      </w:r>
      <w:r>
        <w:rPr>
          <w:rFonts w:hint="eastAsia" w:ascii="仿宋" w:hAnsi="仿宋" w:eastAsia="仿宋" w:cs="仿宋"/>
          <w:color w:val="auto"/>
          <w:sz w:val="30"/>
          <w:szCs w:val="30"/>
          <w:highlight w:val="none"/>
          <w:lang w:val="en-US" w:eastAsia="zh-CN"/>
        </w:rPr>
        <w:t>赣水规计字[2019]9号</w:t>
      </w:r>
      <w:r>
        <w:rPr>
          <w:rFonts w:hint="eastAsia" w:ascii="仿宋" w:hAnsi="仿宋" w:eastAsia="仿宋" w:cs="仿宋"/>
          <w:color w:val="auto"/>
          <w:sz w:val="30"/>
          <w:szCs w:val="30"/>
          <w:lang w:val="en-US" w:eastAsia="zh-CN"/>
        </w:rPr>
        <w:t>），项目绩效目</w:t>
      </w:r>
      <w:r>
        <w:rPr>
          <w:rFonts w:hint="eastAsia" w:ascii="仿宋" w:hAnsi="仿宋" w:eastAsia="仿宋" w:cs="仿宋"/>
          <w:sz w:val="30"/>
          <w:szCs w:val="30"/>
          <w:lang w:val="en-US" w:eastAsia="zh-CN"/>
        </w:rPr>
        <w:t>标为完成34座小型水库工程设施维修养护。该项目在2019年底完成本年度项目资金计划，完成中央财政水利投资36万元，实际完成34座小型水库工程设施维修养护，实现绩效目标值。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highlight w:val="none"/>
          <w:lang w:val="en-US" w:eastAsia="zh-CN"/>
        </w:rPr>
        <w:t>7、山洪灾害防治非工程措施设施维修养护：山洪灾害防治非工程措施设施维修养护本年度落实中央财政水利发展资金4万元（</w:t>
      </w:r>
      <w:r>
        <w:rPr>
          <w:rFonts w:hint="eastAsia" w:ascii="仿宋_GB2312" w:hAnsi="仿宋_GB2312" w:eastAsia="仿宋_GB2312" w:cs="仿宋_GB2312"/>
          <w:sz w:val="32"/>
          <w:szCs w:val="32"/>
          <w:lang w:val="en-US" w:eastAsia="zh-CN"/>
        </w:rPr>
        <w:t>赣财农指〔2018〕76号</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赣财农指〔2019〕16号</w:t>
      </w:r>
      <w:r>
        <w:rPr>
          <w:rFonts w:hint="eastAsia" w:ascii="仿宋" w:hAnsi="仿宋" w:eastAsia="仿宋" w:cs="仿宋"/>
          <w:sz w:val="30"/>
          <w:szCs w:val="30"/>
          <w:highlight w:val="none"/>
          <w:lang w:val="en-US" w:eastAsia="zh-CN"/>
        </w:rPr>
        <w:t>），该项目于2019年底全部完成，完成投资4万元，完成县级山洪灾害防治群策群防建设任务：开展县级山洪灾害培训1次，圆满实现预定的绩效目标。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highlight w:val="none"/>
          <w:lang w:val="en-US" w:eastAsia="zh-CN"/>
        </w:rPr>
        <w:t>8、农业水价综合改革</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highlight w:val="none"/>
          <w:lang w:val="en-US" w:eastAsia="zh-CN"/>
        </w:rPr>
        <w:t>农业水价综合改革本年度</w:t>
      </w:r>
      <w:r>
        <w:rPr>
          <w:rFonts w:hint="eastAsia" w:ascii="仿宋" w:hAnsi="仿宋" w:eastAsia="仿宋" w:cs="仿宋"/>
          <w:color w:val="auto"/>
          <w:sz w:val="30"/>
          <w:szCs w:val="30"/>
          <w:lang w:val="en-US" w:eastAsia="zh-CN"/>
        </w:rPr>
        <w:t>落实中央财政水利发展资金21万元</w:t>
      </w:r>
      <w:r>
        <w:rPr>
          <w:rFonts w:hint="eastAsia" w:ascii="仿宋" w:hAnsi="仿宋" w:eastAsia="仿宋" w:cs="仿宋"/>
          <w:color w:val="auto"/>
          <w:sz w:val="30"/>
          <w:szCs w:val="30"/>
          <w:highlight w:val="none"/>
          <w:lang w:val="en-US" w:eastAsia="zh-CN"/>
        </w:rPr>
        <w:t>（赣水规计字[2019]9号），项目绩效目标为开展农业水价综</w:t>
      </w:r>
      <w:r>
        <w:rPr>
          <w:rFonts w:hint="eastAsia" w:ascii="仿宋" w:hAnsi="仿宋" w:eastAsia="仿宋" w:cs="仿宋"/>
          <w:color w:val="auto"/>
          <w:sz w:val="30"/>
          <w:szCs w:val="30"/>
          <w:lang w:val="en-US" w:eastAsia="zh-CN"/>
        </w:rPr>
        <w:t>合改革面积1万亩，</w:t>
      </w:r>
      <w:r>
        <w:rPr>
          <w:rFonts w:hint="eastAsia" w:ascii="仿宋" w:hAnsi="仿宋" w:eastAsia="仿宋" w:cs="仿宋"/>
          <w:sz w:val="30"/>
          <w:szCs w:val="30"/>
          <w:lang w:val="en-US" w:eastAsia="zh-CN"/>
        </w:rPr>
        <w:t>该项目在2019年底全面完成，完成投资21万元，</w:t>
      </w:r>
      <w:r>
        <w:rPr>
          <w:rFonts w:hint="eastAsia" w:ascii="仿宋" w:hAnsi="仿宋" w:eastAsia="仿宋" w:cs="仿宋"/>
          <w:color w:val="auto"/>
          <w:sz w:val="30"/>
          <w:szCs w:val="30"/>
          <w:lang w:val="en-US" w:eastAsia="zh-CN"/>
        </w:rPr>
        <w:t>实现了农业水价综合改革面积1万亩的绩效目标。</w:t>
      </w:r>
    </w:p>
    <w:p>
      <w:pPr>
        <w:pStyle w:val="3"/>
        <w:pageBreakBefore w:val="0"/>
        <w:widowControl w:val="0"/>
        <w:kinsoku/>
        <w:wordWrap/>
        <w:overflowPunct/>
        <w:topLinePunct w:val="0"/>
        <w:autoSpaceDE/>
        <w:autoSpaceDN/>
        <w:bidi w:val="0"/>
        <w:adjustRightInd/>
        <w:snapToGrid/>
        <w:spacing w:line="560" w:lineRule="exact"/>
        <w:ind w:firstLine="640"/>
        <w:textAlignment w:val="auto"/>
        <w:rPr>
          <w:rFonts w:ascii="楷体" w:hAnsi="楷体" w:eastAsia="楷体" w:cs="Times New Roman"/>
          <w:bCs w:val="0"/>
          <w:color w:val="auto"/>
          <w:sz w:val="32"/>
        </w:rPr>
      </w:pPr>
      <w:r>
        <w:rPr>
          <w:rFonts w:hint="eastAsia" w:ascii="楷体" w:hAnsi="楷体" w:eastAsia="楷体" w:cs="Times New Roman"/>
          <w:bCs w:val="0"/>
          <w:color w:val="auto"/>
          <w:sz w:val="32"/>
        </w:rPr>
        <w:t>（二）实施项目情况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我县2019年安排中央财政水利发展资金2273万元，实际到位2273万元，资金到位率为100%；省级资金</w:t>
      </w:r>
      <w:r>
        <w:rPr>
          <w:rFonts w:hint="eastAsia" w:ascii="仿宋" w:hAnsi="仿宋" w:eastAsia="仿宋" w:cs="仿宋"/>
          <w:sz w:val="30"/>
          <w:szCs w:val="30"/>
          <w:highlight w:val="none"/>
          <w:lang w:val="en-US" w:eastAsia="zh-CN"/>
        </w:rPr>
        <w:t>168.34</w:t>
      </w:r>
      <w:r>
        <w:rPr>
          <w:rFonts w:hint="eastAsia" w:ascii="仿宋" w:hAnsi="仿宋" w:eastAsia="仿宋" w:cs="仿宋"/>
          <w:color w:val="auto"/>
          <w:sz w:val="30"/>
          <w:szCs w:val="30"/>
          <w:highlight w:val="none"/>
          <w:lang w:val="en-US" w:eastAsia="zh-CN"/>
        </w:rPr>
        <w:t>万元，实际到位168.34万元，资金到位率为100%；其它资金1.3万元，实际到位1.3万元，资金到位率为100%。2019年共计安排中央、省级、其他资金2441.34万元，实际到位2442.64万元。主要支出方向有：重点中型灌区节水配套改造1840万元、水土流失综合治理450万元、最严格水资源管理制度考核20万元、农村饮水工程维修养护41万元、小型水库工程设施维修养护55.34万元、山洪灾害防治非工程措施10万元、山洪灾害防治非工程措施设施维修养护4万元、农业水价综合改革21万元。</w:t>
      </w:r>
    </w:p>
    <w:p>
      <w:pPr>
        <w:pStyle w:val="2"/>
        <w:pageBreakBefore w:val="0"/>
        <w:widowControl w:val="0"/>
        <w:kinsoku/>
        <w:wordWrap/>
        <w:overflowPunct/>
        <w:topLinePunct w:val="0"/>
        <w:autoSpaceDE/>
        <w:autoSpaceDN/>
        <w:bidi w:val="0"/>
        <w:adjustRightInd/>
        <w:snapToGrid/>
        <w:spacing w:line="560" w:lineRule="exact"/>
        <w:ind w:firstLine="640"/>
        <w:textAlignment w:val="auto"/>
        <w:rPr>
          <w:rFonts w:ascii="黑体" w:hAnsi="黑体" w:eastAsia="黑体" w:cs="Times New Roman"/>
          <w:b w:val="0"/>
          <w:bCs w:val="0"/>
          <w:color w:val="auto"/>
          <w:sz w:val="32"/>
        </w:rPr>
      </w:pPr>
      <w:r>
        <w:rPr>
          <w:rFonts w:hint="eastAsia" w:ascii="黑体" w:hAnsi="黑体" w:eastAsia="黑体" w:cs="Times New Roman"/>
          <w:b w:val="0"/>
          <w:bCs w:val="0"/>
          <w:color w:val="auto"/>
          <w:sz w:val="32"/>
        </w:rPr>
        <w:t>二、绩效自评工作开展情况</w:t>
      </w:r>
    </w:p>
    <w:p>
      <w:pPr>
        <w:pStyle w:val="3"/>
        <w:pageBreakBefore w:val="0"/>
        <w:widowControl w:val="0"/>
        <w:kinsoku/>
        <w:wordWrap/>
        <w:overflowPunct/>
        <w:topLinePunct w:val="0"/>
        <w:autoSpaceDE/>
        <w:autoSpaceDN/>
        <w:bidi w:val="0"/>
        <w:adjustRightInd/>
        <w:snapToGrid/>
        <w:spacing w:line="560" w:lineRule="exact"/>
        <w:ind w:firstLine="640"/>
        <w:textAlignment w:val="auto"/>
        <w:rPr>
          <w:rFonts w:hint="eastAsia" w:ascii="楷体" w:hAnsi="楷体" w:eastAsia="楷体" w:cs="Times New Roman"/>
          <w:bCs w:val="0"/>
          <w:color w:val="auto"/>
          <w:sz w:val="32"/>
        </w:rPr>
      </w:pPr>
      <w:r>
        <w:rPr>
          <w:rFonts w:hint="eastAsia" w:ascii="楷体" w:hAnsi="楷体" w:eastAsia="楷体" w:cs="Times New Roman"/>
          <w:bCs w:val="0"/>
          <w:color w:val="auto"/>
          <w:sz w:val="32"/>
        </w:rPr>
        <w:t>（一）自评依据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textAlignment w:val="auto"/>
        <w:rPr>
          <w:rFonts w:hint="default" w:ascii="仿宋" w:hAnsi="仿宋" w:eastAsia="仿宋" w:cs="仿宋"/>
          <w:color w:val="auto"/>
          <w:sz w:val="30"/>
          <w:szCs w:val="30"/>
          <w:highlight w:val="none"/>
          <w:lang w:val="en-US" w:eastAsia="zh-CN"/>
        </w:rPr>
      </w:pPr>
      <w:r>
        <w:rPr>
          <w:rFonts w:hint="eastAsia" w:ascii="仿宋" w:hAnsi="仿宋" w:eastAsia="仿宋" w:cs="仿宋"/>
          <w:color w:val="auto"/>
          <w:sz w:val="30"/>
          <w:szCs w:val="30"/>
          <w:lang w:val="en-US" w:eastAsia="zh-CN"/>
        </w:rPr>
        <w:t>我县绩效自评依据有：</w:t>
      </w:r>
      <w:r>
        <w:t>《财政部办公厅水利部办公厅关于开展201</w:t>
      </w:r>
      <w:r>
        <w:rPr>
          <w:rFonts w:hint="eastAsia"/>
        </w:rPr>
        <w:t>9</w:t>
      </w:r>
      <w:r>
        <w:t>年度水利发展资金绩效评价工作的通知》（财办农〔20</w:t>
      </w:r>
      <w:r>
        <w:rPr>
          <w:rFonts w:hint="eastAsia"/>
        </w:rPr>
        <w:t>20</w:t>
      </w:r>
      <w:r>
        <w:t>〕</w:t>
      </w:r>
      <w:r>
        <w:rPr>
          <w:rFonts w:hint="eastAsia"/>
        </w:rPr>
        <w:t>22</w:t>
      </w:r>
      <w:r>
        <w:t>号）</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highlight w:val="none"/>
          <w:lang w:val="en-US" w:eastAsia="zh-CN"/>
        </w:rPr>
        <w:t>财政部、水利部制定的资金使用及绩效管理办法：财农[2016]181号；江西省财政厅、水利厅制定的资金使用管理实施细则、管理办法及资金预算绩效管理实施细则（暂行）：赣水规计字[2019]9号、赣财农指【2018】76号、</w:t>
      </w:r>
      <w:r>
        <w:rPr>
          <w:rFonts w:hint="eastAsia" w:ascii="仿宋_GB2312" w:hAnsi="仿宋_GB2312" w:eastAsia="仿宋_GB2312" w:cs="仿宋_GB2312"/>
          <w:sz w:val="32"/>
          <w:szCs w:val="32"/>
          <w:lang w:val="en-US" w:eastAsia="zh-CN"/>
        </w:rPr>
        <w:t>赣财农指〔2019〕16号</w:t>
      </w:r>
      <w:r>
        <w:rPr>
          <w:rFonts w:hint="eastAsia" w:ascii="仿宋" w:hAnsi="仿宋" w:eastAsia="仿宋" w:cs="仿宋"/>
          <w:color w:val="auto"/>
          <w:sz w:val="30"/>
          <w:szCs w:val="30"/>
          <w:highlight w:val="none"/>
          <w:lang w:val="en-US" w:eastAsia="zh-CN"/>
        </w:rPr>
        <w:t>。</w:t>
      </w:r>
    </w:p>
    <w:p>
      <w:pPr>
        <w:pStyle w:val="3"/>
        <w:pageBreakBefore w:val="0"/>
        <w:widowControl w:val="0"/>
        <w:kinsoku/>
        <w:wordWrap/>
        <w:overflowPunct/>
        <w:topLinePunct w:val="0"/>
        <w:autoSpaceDE/>
        <w:autoSpaceDN/>
        <w:bidi w:val="0"/>
        <w:adjustRightInd/>
        <w:snapToGrid/>
        <w:spacing w:line="560" w:lineRule="exact"/>
        <w:ind w:firstLine="640"/>
        <w:textAlignment w:val="auto"/>
        <w:rPr>
          <w:rFonts w:ascii="楷体" w:hAnsi="楷体" w:eastAsia="楷体" w:cs="Times New Roman"/>
          <w:bCs w:val="0"/>
          <w:color w:val="auto"/>
          <w:sz w:val="32"/>
        </w:rPr>
      </w:pPr>
      <w:r>
        <w:rPr>
          <w:rFonts w:hint="eastAsia" w:ascii="楷体" w:hAnsi="楷体" w:eastAsia="楷体" w:cs="Times New Roman"/>
          <w:bCs w:val="0"/>
          <w:color w:val="auto"/>
          <w:sz w:val="32"/>
        </w:rPr>
        <w:t>（二）自评方式</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eastAsia="仿宋_GB2312"/>
          <w:color w:val="FF0000"/>
          <w:lang w:val="en-US" w:eastAsia="zh-CN"/>
        </w:rPr>
      </w:pPr>
      <w:r>
        <w:rPr>
          <w:rFonts w:hint="eastAsia" w:ascii="仿宋" w:hAnsi="仿宋" w:eastAsia="仿宋" w:cs="仿宋"/>
          <w:color w:val="auto"/>
          <w:sz w:val="30"/>
          <w:szCs w:val="30"/>
          <w:lang w:val="en-US" w:eastAsia="zh-CN"/>
        </w:rPr>
        <w:t>为切实做好我县2019年度中央财政水利发展资金绩效自评工作，我县制定了切实有效的绩效管理办法。并于6月20日召集县水利局、财政局相关科室人员，召开2019年度中央财政水利发展资金及省级财政专项资金绩效评价布置会，会议要求严格按照上级文件精神进行项目资金绩效评价，明确县水利局、财政局分别安排1名固定人员具体负责绩效目标管理工作，水利局相关科室人员负责提供项目绩效作证材料，财政局负责审核；采取实事求是、责任到人的方法开展自评，确保资料填报及时、准确。</w:t>
      </w:r>
    </w:p>
    <w:p>
      <w:pPr>
        <w:pStyle w:val="2"/>
        <w:pageBreakBefore w:val="0"/>
        <w:widowControl w:val="0"/>
        <w:kinsoku/>
        <w:wordWrap/>
        <w:overflowPunct/>
        <w:topLinePunct w:val="0"/>
        <w:autoSpaceDE/>
        <w:autoSpaceDN/>
        <w:bidi w:val="0"/>
        <w:adjustRightInd/>
        <w:snapToGrid/>
        <w:spacing w:line="560" w:lineRule="exact"/>
        <w:ind w:firstLine="640"/>
        <w:textAlignment w:val="auto"/>
        <w:rPr>
          <w:rFonts w:ascii="黑体" w:hAnsi="黑体" w:eastAsia="黑体" w:cs="Times New Roman"/>
          <w:b w:val="0"/>
          <w:bCs w:val="0"/>
          <w:color w:val="auto"/>
          <w:sz w:val="32"/>
        </w:rPr>
      </w:pPr>
      <w:r>
        <w:rPr>
          <w:rFonts w:ascii="黑体" w:hAnsi="黑体" w:eastAsia="黑体" w:cs="Times New Roman"/>
          <w:b w:val="0"/>
          <w:bCs w:val="0"/>
          <w:color w:val="auto"/>
          <w:sz w:val="32"/>
        </w:rPr>
        <w:t>三</w:t>
      </w:r>
      <w:r>
        <w:rPr>
          <w:rFonts w:hint="eastAsia" w:ascii="黑体" w:hAnsi="黑体" w:eastAsia="黑体" w:cs="Times New Roman"/>
          <w:b w:val="0"/>
          <w:bCs w:val="0"/>
          <w:color w:val="auto"/>
          <w:sz w:val="32"/>
        </w:rPr>
        <w:t>、</w:t>
      </w:r>
      <w:r>
        <w:rPr>
          <w:rFonts w:ascii="黑体" w:hAnsi="黑体" w:eastAsia="黑体" w:cs="Times New Roman"/>
          <w:b w:val="0"/>
          <w:bCs w:val="0"/>
          <w:color w:val="auto"/>
          <w:sz w:val="32"/>
        </w:rPr>
        <w:t>绩效自评分析</w:t>
      </w:r>
    </w:p>
    <w:p>
      <w:pPr>
        <w:pStyle w:val="3"/>
        <w:pageBreakBefore w:val="0"/>
        <w:widowControl w:val="0"/>
        <w:kinsoku/>
        <w:wordWrap/>
        <w:overflowPunct/>
        <w:topLinePunct w:val="0"/>
        <w:autoSpaceDE/>
        <w:autoSpaceDN/>
        <w:bidi w:val="0"/>
        <w:adjustRightInd/>
        <w:snapToGrid/>
        <w:spacing w:line="560" w:lineRule="exact"/>
        <w:ind w:firstLine="640"/>
        <w:textAlignment w:val="auto"/>
        <w:rPr>
          <w:rFonts w:ascii="楷体" w:hAnsi="楷体" w:eastAsia="楷体" w:cs="Times New Roman"/>
          <w:bCs w:val="0"/>
          <w:color w:val="auto"/>
          <w:sz w:val="32"/>
        </w:rPr>
      </w:pPr>
      <w:r>
        <w:rPr>
          <w:rFonts w:hint="eastAsia" w:ascii="楷体" w:hAnsi="楷体" w:eastAsia="楷体" w:cs="Times New Roman"/>
          <w:bCs w:val="0"/>
          <w:color w:val="auto"/>
          <w:sz w:val="32"/>
        </w:rPr>
        <w:t>（一）项目资金情况分析</w:t>
      </w:r>
    </w:p>
    <w:p>
      <w:pPr>
        <w:pageBreakBefore w:val="0"/>
        <w:widowControl w:val="0"/>
        <w:kinsoku/>
        <w:wordWrap/>
        <w:overflowPunct/>
        <w:topLinePunct w:val="0"/>
        <w:autoSpaceDE/>
        <w:autoSpaceDN/>
        <w:bidi w:val="0"/>
        <w:adjustRightInd/>
        <w:snapToGrid/>
        <w:spacing w:line="560" w:lineRule="exact"/>
        <w:ind w:firstLine="640"/>
        <w:textAlignment w:val="auto"/>
        <w:rPr>
          <w:rFonts w:cs="Times New Roman"/>
          <w:color w:val="auto"/>
          <w:sz w:val="32"/>
        </w:rPr>
      </w:pPr>
      <w:r>
        <w:rPr>
          <w:rFonts w:cs="Times New Roman"/>
          <w:color w:val="auto"/>
          <w:sz w:val="32"/>
        </w:rPr>
        <w:t>1</w:t>
      </w:r>
      <w:r>
        <w:rPr>
          <w:rFonts w:hint="eastAsia" w:cs="Times New Roman"/>
          <w:color w:val="auto"/>
          <w:sz w:val="32"/>
        </w:rPr>
        <w:t>.资金到位情况</w:t>
      </w:r>
    </w:p>
    <w:p>
      <w:pPr>
        <w:pageBreakBefore w:val="0"/>
        <w:widowControl w:val="0"/>
        <w:kinsoku/>
        <w:wordWrap/>
        <w:overflowPunct/>
        <w:topLinePunct w:val="0"/>
        <w:autoSpaceDE/>
        <w:autoSpaceDN/>
        <w:bidi w:val="0"/>
        <w:adjustRightInd/>
        <w:snapToGrid/>
        <w:spacing w:line="560" w:lineRule="exact"/>
        <w:ind w:firstLine="640"/>
        <w:textAlignment w:val="auto"/>
        <w:rPr>
          <w:rFonts w:cs="Times New Roman"/>
          <w:color w:val="FF0000"/>
          <w:sz w:val="32"/>
        </w:rPr>
      </w:pPr>
      <w:r>
        <w:rPr>
          <w:rFonts w:hint="eastAsia" w:ascii="仿宋" w:hAnsi="仿宋" w:eastAsia="仿宋" w:cs="仿宋"/>
          <w:color w:val="auto"/>
          <w:sz w:val="30"/>
          <w:szCs w:val="30"/>
          <w:lang w:val="en-US" w:eastAsia="zh-CN"/>
        </w:rPr>
        <w:t>我县2019年安排中央财政水利发展资金2273万元，实际到位2273万元，资金到位率为100%；配套省级资金168.34万元，实际到位168.34万元，资金到位率为100%，其它资金1.3万元，实际到位1.3万元，资金到位率为100%。2019年共计安排中央、省级、其它资金2441.34万元，实际到位2442.64万元。</w:t>
      </w:r>
    </w:p>
    <w:p>
      <w:pPr>
        <w:widowControl w:val="0"/>
        <w:ind w:firstLine="0" w:firstLineChars="0"/>
        <w:jc w:val="center"/>
        <w:rPr>
          <w:rFonts w:hint="eastAsia" w:cs="Times New Roman"/>
          <w:color w:val="auto"/>
        </w:rPr>
      </w:pPr>
      <w:r>
        <w:rPr>
          <w:rFonts w:hint="eastAsia" w:cs="Times New Roman"/>
          <w:color w:val="auto"/>
        </w:rPr>
        <w:t>表</w:t>
      </w:r>
      <w:r>
        <w:rPr>
          <w:rFonts w:cs="Times New Roman"/>
          <w:color w:val="auto"/>
        </w:rPr>
        <w:t>3-1     201</w:t>
      </w:r>
      <w:r>
        <w:rPr>
          <w:rFonts w:hint="eastAsia" w:cs="Times New Roman"/>
          <w:color w:val="auto"/>
          <w:lang w:val="en-US" w:eastAsia="zh-CN"/>
        </w:rPr>
        <w:t>9</w:t>
      </w:r>
      <w:r>
        <w:rPr>
          <w:rFonts w:hint="eastAsia" w:cs="Times New Roman"/>
          <w:color w:val="auto"/>
        </w:rPr>
        <w:t>年度水利发展资金到位情况表（不含整合资金）</w:t>
      </w:r>
    </w:p>
    <w:p>
      <w:pPr>
        <w:widowControl w:val="0"/>
        <w:ind w:firstLine="0" w:firstLineChars="0"/>
        <w:jc w:val="both"/>
        <w:rPr>
          <w:rFonts w:hint="eastAsia" w:cs="Times New Roman"/>
          <w:color w:val="auto"/>
        </w:rPr>
      </w:pPr>
    </w:p>
    <w:p>
      <w:pPr>
        <w:widowControl w:val="0"/>
        <w:ind w:firstLine="0" w:firstLineChars="0"/>
        <w:jc w:val="center"/>
        <w:rPr>
          <w:rFonts w:hint="eastAsia" w:cs="Times New Roman"/>
          <w:color w:val="auto"/>
        </w:rPr>
      </w:pPr>
    </w:p>
    <w:tbl>
      <w:tblPr>
        <w:tblStyle w:val="7"/>
        <w:tblW w:w="8556" w:type="dxa"/>
        <w:tblInd w:w="0" w:type="dxa"/>
        <w:tblLayout w:type="autofit"/>
        <w:tblCellMar>
          <w:top w:w="0" w:type="dxa"/>
          <w:left w:w="51" w:type="dxa"/>
          <w:bottom w:w="0" w:type="dxa"/>
          <w:right w:w="51" w:type="dxa"/>
        </w:tblCellMar>
      </w:tblPr>
      <w:tblGrid>
        <w:gridCol w:w="2178"/>
        <w:gridCol w:w="721"/>
        <w:gridCol w:w="702"/>
        <w:gridCol w:w="821"/>
        <w:gridCol w:w="730"/>
        <w:gridCol w:w="711"/>
        <w:gridCol w:w="851"/>
        <w:gridCol w:w="848"/>
        <w:gridCol w:w="994"/>
      </w:tblGrid>
      <w:tr>
        <w:tblPrEx>
          <w:tblCellMar>
            <w:top w:w="0" w:type="dxa"/>
            <w:left w:w="51" w:type="dxa"/>
            <w:bottom w:w="0" w:type="dxa"/>
            <w:right w:w="51" w:type="dxa"/>
          </w:tblCellMar>
        </w:tblPrEx>
        <w:trPr>
          <w:trHeight w:val="410" w:hRule="atLeast"/>
          <w:tblHeader/>
        </w:trPr>
        <w:tc>
          <w:tcPr>
            <w:tcW w:w="2178" w:type="dxa"/>
            <w:vMerge w:val="restart"/>
            <w:tcBorders>
              <w:top w:val="single" w:color="auto" w:sz="4" w:space="0"/>
              <w:left w:val="single" w:color="auto" w:sz="4" w:space="0"/>
              <w:right w:val="single" w:color="auto" w:sz="4" w:space="0"/>
            </w:tcBorders>
            <w:shd w:val="clear" w:color="auto" w:fill="auto"/>
            <w:vAlign w:val="center"/>
          </w:tcPr>
          <w:p>
            <w:pPr>
              <w:spacing w:line="260" w:lineRule="exact"/>
              <w:ind w:firstLine="0" w:firstLineChars="0"/>
              <w:jc w:val="center"/>
              <w:rPr>
                <w:rFonts w:cs="Times New Roman"/>
                <w:color w:val="000000"/>
                <w:kern w:val="0"/>
                <w:sz w:val="20"/>
                <w:szCs w:val="20"/>
              </w:rPr>
            </w:pPr>
            <w:r>
              <w:rPr>
                <w:rFonts w:hint="eastAsia" w:cs="Times New Roman"/>
                <w:color w:val="000000"/>
                <w:kern w:val="0"/>
                <w:sz w:val="20"/>
                <w:szCs w:val="20"/>
              </w:rPr>
              <w:t>分类</w:t>
            </w:r>
          </w:p>
        </w:tc>
        <w:tc>
          <w:tcPr>
            <w:tcW w:w="721" w:type="dxa"/>
            <w:vMerge w:val="restart"/>
            <w:tcBorders>
              <w:top w:val="single" w:color="auto" w:sz="4" w:space="0"/>
              <w:left w:val="single" w:color="auto" w:sz="4" w:space="0"/>
              <w:right w:val="single" w:color="auto" w:sz="4" w:space="0"/>
            </w:tcBorders>
            <w:shd w:val="clear" w:color="auto" w:fill="auto"/>
            <w:vAlign w:val="center"/>
          </w:tcPr>
          <w:p>
            <w:pPr>
              <w:spacing w:line="260" w:lineRule="exact"/>
              <w:ind w:firstLine="0" w:firstLineChars="0"/>
              <w:jc w:val="center"/>
              <w:rPr>
                <w:rFonts w:cs="Times New Roman"/>
                <w:color w:val="000000"/>
                <w:kern w:val="0"/>
                <w:sz w:val="20"/>
                <w:szCs w:val="20"/>
              </w:rPr>
            </w:pPr>
            <w:r>
              <w:rPr>
                <w:rFonts w:hint="eastAsia" w:cs="Times New Roman"/>
                <w:color w:val="000000"/>
                <w:kern w:val="0"/>
                <w:sz w:val="20"/>
                <w:szCs w:val="20"/>
              </w:rPr>
              <w:t>批复预算数（万元）</w:t>
            </w:r>
          </w:p>
        </w:tc>
        <w:tc>
          <w:tcPr>
            <w:tcW w:w="5657"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cs="Times New Roman"/>
                <w:color w:val="000000"/>
                <w:kern w:val="0"/>
                <w:sz w:val="20"/>
                <w:szCs w:val="20"/>
              </w:rPr>
            </w:pPr>
            <w:r>
              <w:rPr>
                <w:rFonts w:hint="eastAsia" w:cs="Times New Roman"/>
                <w:color w:val="000000"/>
                <w:kern w:val="0"/>
                <w:sz w:val="20"/>
                <w:szCs w:val="20"/>
              </w:rPr>
              <w:t>扣除整合资金后</w:t>
            </w:r>
          </w:p>
        </w:tc>
      </w:tr>
      <w:tr>
        <w:tblPrEx>
          <w:tblCellMar>
            <w:top w:w="0" w:type="dxa"/>
            <w:left w:w="51" w:type="dxa"/>
            <w:bottom w:w="0" w:type="dxa"/>
            <w:right w:w="51" w:type="dxa"/>
          </w:tblCellMar>
        </w:tblPrEx>
        <w:trPr>
          <w:trHeight w:val="421" w:hRule="atLeast"/>
          <w:tblHeader/>
        </w:trPr>
        <w:tc>
          <w:tcPr>
            <w:tcW w:w="2178" w:type="dxa"/>
            <w:vMerge w:val="continue"/>
            <w:tcBorders>
              <w:left w:val="single" w:color="auto" w:sz="4" w:space="0"/>
              <w:right w:val="single" w:color="auto" w:sz="4" w:space="0"/>
            </w:tcBorders>
            <w:shd w:val="clear" w:color="auto" w:fill="auto"/>
            <w:vAlign w:val="center"/>
          </w:tcPr>
          <w:p>
            <w:pPr>
              <w:spacing w:line="260" w:lineRule="exact"/>
              <w:ind w:firstLine="0" w:firstLineChars="0"/>
              <w:jc w:val="center"/>
            </w:pPr>
          </w:p>
        </w:tc>
        <w:tc>
          <w:tcPr>
            <w:tcW w:w="721" w:type="dxa"/>
            <w:vMerge w:val="continue"/>
            <w:tcBorders>
              <w:left w:val="single" w:color="auto" w:sz="4" w:space="0"/>
              <w:right w:val="single" w:color="auto" w:sz="4" w:space="0"/>
            </w:tcBorders>
            <w:shd w:val="clear" w:color="auto" w:fill="auto"/>
            <w:vAlign w:val="center"/>
          </w:tcPr>
          <w:p>
            <w:pPr>
              <w:spacing w:line="260" w:lineRule="exact"/>
              <w:ind w:firstLine="0" w:firstLineChars="0"/>
              <w:jc w:val="center"/>
            </w:pPr>
          </w:p>
        </w:tc>
        <w:tc>
          <w:tcPr>
            <w:tcW w:w="225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cs="Times New Roman"/>
                <w:color w:val="000000"/>
                <w:kern w:val="0"/>
                <w:sz w:val="20"/>
                <w:szCs w:val="20"/>
              </w:rPr>
            </w:pPr>
            <w:r>
              <w:rPr>
                <w:rFonts w:hint="eastAsia" w:cs="Times New Roman"/>
                <w:color w:val="000000"/>
                <w:kern w:val="0"/>
                <w:sz w:val="20"/>
                <w:szCs w:val="20"/>
              </w:rPr>
              <w:t>预算数（万元）</w:t>
            </w:r>
          </w:p>
        </w:tc>
        <w:tc>
          <w:tcPr>
            <w:tcW w:w="2410" w:type="dxa"/>
            <w:gridSpan w:val="3"/>
            <w:tcBorders>
              <w:left w:val="nil"/>
              <w:bottom w:val="single" w:color="auto" w:sz="4" w:space="0"/>
              <w:right w:val="single" w:color="auto" w:sz="4" w:space="0"/>
            </w:tcBorders>
            <w:shd w:val="clear" w:color="auto" w:fill="auto"/>
            <w:vAlign w:val="center"/>
          </w:tcPr>
          <w:p>
            <w:pPr>
              <w:spacing w:line="260" w:lineRule="exact"/>
              <w:ind w:firstLine="0" w:firstLineChars="0"/>
              <w:jc w:val="center"/>
              <w:rPr>
                <w:rFonts w:cs="Times New Roman"/>
                <w:color w:val="000000"/>
                <w:kern w:val="0"/>
                <w:sz w:val="20"/>
                <w:szCs w:val="20"/>
              </w:rPr>
            </w:pPr>
            <w:r>
              <w:rPr>
                <w:rFonts w:hint="eastAsia" w:cs="Times New Roman"/>
                <w:color w:val="000000"/>
                <w:kern w:val="0"/>
                <w:sz w:val="20"/>
                <w:szCs w:val="20"/>
              </w:rPr>
              <w:t>财政到位资金（万元）</w:t>
            </w:r>
          </w:p>
        </w:tc>
        <w:tc>
          <w:tcPr>
            <w:tcW w:w="994" w:type="dxa"/>
            <w:vMerge w:val="restart"/>
            <w:tcBorders>
              <w:left w:val="single" w:color="auto" w:sz="4" w:space="0"/>
              <w:right w:val="single" w:color="auto" w:sz="4" w:space="0"/>
            </w:tcBorders>
            <w:shd w:val="clear" w:color="auto" w:fill="auto"/>
            <w:vAlign w:val="center"/>
          </w:tcPr>
          <w:p>
            <w:pPr>
              <w:spacing w:line="260" w:lineRule="exact"/>
              <w:ind w:firstLine="0" w:firstLineChars="0"/>
              <w:rPr>
                <w:rFonts w:cs="Times New Roman"/>
                <w:color w:val="000000"/>
                <w:kern w:val="0"/>
                <w:sz w:val="20"/>
                <w:szCs w:val="20"/>
              </w:rPr>
            </w:pPr>
            <w:r>
              <w:rPr>
                <w:rFonts w:hint="eastAsia" w:cs="Times New Roman"/>
                <w:color w:val="000000"/>
                <w:kern w:val="0"/>
                <w:sz w:val="20"/>
                <w:szCs w:val="20"/>
              </w:rPr>
              <w:t>中央和省级财政资金到位率（</w:t>
            </w:r>
            <w:r>
              <w:rPr>
                <w:rFonts w:cs="Times New Roman"/>
                <w:color w:val="000000"/>
                <w:kern w:val="0"/>
                <w:sz w:val="20"/>
                <w:szCs w:val="20"/>
              </w:rPr>
              <w:t>%</w:t>
            </w:r>
            <w:r>
              <w:rPr>
                <w:rFonts w:hint="eastAsia" w:cs="Times New Roman"/>
                <w:color w:val="000000"/>
                <w:kern w:val="0"/>
                <w:sz w:val="20"/>
                <w:szCs w:val="20"/>
              </w:rPr>
              <w:t>）</w:t>
            </w:r>
          </w:p>
        </w:tc>
      </w:tr>
      <w:tr>
        <w:tblPrEx>
          <w:tblCellMar>
            <w:top w:w="0" w:type="dxa"/>
            <w:left w:w="51" w:type="dxa"/>
            <w:bottom w:w="0" w:type="dxa"/>
            <w:right w:w="51" w:type="dxa"/>
          </w:tblCellMar>
        </w:tblPrEx>
        <w:trPr>
          <w:trHeight w:val="357" w:hRule="atLeast"/>
          <w:tblHeader/>
        </w:trPr>
        <w:tc>
          <w:tcPr>
            <w:tcW w:w="2178" w:type="dxa"/>
            <w:vMerge w:val="continue"/>
            <w:tcBorders>
              <w:left w:val="single" w:color="auto" w:sz="4" w:space="0"/>
              <w:right w:val="single" w:color="auto" w:sz="4" w:space="0"/>
            </w:tcBorders>
            <w:vAlign w:val="center"/>
          </w:tcPr>
          <w:p>
            <w:pPr>
              <w:spacing w:line="260" w:lineRule="exact"/>
              <w:ind w:firstLine="0" w:firstLineChars="0"/>
              <w:jc w:val="center"/>
              <w:rPr>
                <w:rFonts w:cs="Times New Roman"/>
                <w:color w:val="000000"/>
                <w:kern w:val="0"/>
                <w:sz w:val="20"/>
                <w:szCs w:val="20"/>
              </w:rPr>
            </w:pPr>
          </w:p>
        </w:tc>
        <w:tc>
          <w:tcPr>
            <w:tcW w:w="721" w:type="dxa"/>
            <w:vMerge w:val="continue"/>
            <w:tcBorders>
              <w:left w:val="single" w:color="auto" w:sz="4" w:space="0"/>
              <w:right w:val="single" w:color="auto" w:sz="4" w:space="0"/>
            </w:tcBorders>
            <w:vAlign w:val="center"/>
          </w:tcPr>
          <w:p>
            <w:pPr>
              <w:spacing w:line="260" w:lineRule="exact"/>
              <w:ind w:firstLine="0" w:firstLineChars="0"/>
              <w:jc w:val="center"/>
              <w:rPr>
                <w:rFonts w:cs="Times New Roman"/>
                <w:color w:val="000000"/>
                <w:kern w:val="0"/>
                <w:sz w:val="20"/>
                <w:szCs w:val="20"/>
              </w:rPr>
            </w:pPr>
          </w:p>
        </w:tc>
        <w:tc>
          <w:tcPr>
            <w:tcW w:w="702" w:type="dxa"/>
            <w:vMerge w:val="restart"/>
            <w:tcBorders>
              <w:top w:val="single" w:color="auto" w:sz="4" w:space="0"/>
              <w:left w:val="single" w:color="auto" w:sz="4" w:space="0"/>
              <w:right w:val="single" w:color="auto" w:sz="4" w:space="0"/>
            </w:tcBorders>
            <w:vAlign w:val="center"/>
          </w:tcPr>
          <w:p>
            <w:pPr>
              <w:spacing w:line="260" w:lineRule="exact"/>
              <w:ind w:firstLine="0" w:firstLineChars="0"/>
              <w:jc w:val="center"/>
              <w:rPr>
                <w:rFonts w:cs="Times New Roman"/>
                <w:color w:val="000000"/>
                <w:kern w:val="0"/>
                <w:sz w:val="20"/>
                <w:szCs w:val="20"/>
              </w:rPr>
            </w:pPr>
            <w:r>
              <w:rPr>
                <w:rFonts w:cs="Times New Roman"/>
                <w:color w:val="000000"/>
                <w:kern w:val="0"/>
                <w:sz w:val="20"/>
                <w:szCs w:val="20"/>
              </w:rPr>
              <w:t>总投资</w:t>
            </w:r>
          </w:p>
        </w:tc>
        <w:tc>
          <w:tcPr>
            <w:tcW w:w="1551" w:type="dxa"/>
            <w:gridSpan w:val="2"/>
            <w:tcBorders>
              <w:top w:val="single" w:color="auto" w:sz="4" w:space="0"/>
              <w:left w:val="single" w:color="auto" w:sz="4" w:space="0"/>
              <w:bottom w:val="single" w:color="auto" w:sz="4" w:space="0"/>
              <w:right w:val="single" w:color="auto" w:sz="4" w:space="0"/>
            </w:tcBorders>
            <w:vAlign w:val="center"/>
          </w:tcPr>
          <w:p>
            <w:pPr>
              <w:spacing w:line="260" w:lineRule="exact"/>
              <w:ind w:firstLine="0" w:firstLineChars="0"/>
              <w:jc w:val="center"/>
              <w:rPr>
                <w:rFonts w:cs="Times New Roman"/>
                <w:color w:val="000000"/>
                <w:kern w:val="0"/>
                <w:sz w:val="20"/>
                <w:szCs w:val="20"/>
              </w:rPr>
            </w:pPr>
            <w:r>
              <w:rPr>
                <w:rFonts w:cs="Times New Roman"/>
                <w:color w:val="000000"/>
                <w:kern w:val="0"/>
                <w:sz w:val="20"/>
                <w:szCs w:val="20"/>
              </w:rPr>
              <w:t>其中</w:t>
            </w:r>
          </w:p>
        </w:tc>
        <w:tc>
          <w:tcPr>
            <w:tcW w:w="7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cs="Times New Roman"/>
                <w:color w:val="000000"/>
                <w:kern w:val="0"/>
                <w:sz w:val="20"/>
                <w:szCs w:val="20"/>
              </w:rPr>
            </w:pPr>
            <w:r>
              <w:rPr>
                <w:rFonts w:hint="eastAsia" w:cs="Times New Roman"/>
                <w:color w:val="000000"/>
                <w:kern w:val="0"/>
                <w:sz w:val="20"/>
                <w:szCs w:val="20"/>
              </w:rPr>
              <w:t>小计</w:t>
            </w:r>
          </w:p>
        </w:tc>
        <w:tc>
          <w:tcPr>
            <w:tcW w:w="16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cs="Times New Roman"/>
                <w:color w:val="000000"/>
                <w:kern w:val="0"/>
                <w:sz w:val="20"/>
                <w:szCs w:val="20"/>
              </w:rPr>
            </w:pPr>
            <w:r>
              <w:rPr>
                <w:rFonts w:hint="eastAsia" w:cs="Times New Roman"/>
                <w:color w:val="000000"/>
                <w:kern w:val="0"/>
                <w:sz w:val="20"/>
                <w:szCs w:val="20"/>
              </w:rPr>
              <w:t>其中</w:t>
            </w:r>
          </w:p>
        </w:tc>
        <w:tc>
          <w:tcPr>
            <w:tcW w:w="994" w:type="dxa"/>
            <w:vMerge w:val="continue"/>
            <w:tcBorders>
              <w:left w:val="single" w:color="auto" w:sz="4" w:space="0"/>
              <w:right w:val="single" w:color="auto" w:sz="4" w:space="0"/>
            </w:tcBorders>
            <w:shd w:val="clear" w:color="auto" w:fill="auto"/>
            <w:vAlign w:val="center"/>
          </w:tcPr>
          <w:p>
            <w:pPr>
              <w:spacing w:line="260" w:lineRule="exact"/>
              <w:ind w:firstLine="0" w:firstLineChars="0"/>
              <w:rPr>
                <w:rFonts w:cs="Times New Roman"/>
                <w:color w:val="000000"/>
                <w:kern w:val="0"/>
                <w:sz w:val="20"/>
                <w:szCs w:val="20"/>
              </w:rPr>
            </w:pPr>
          </w:p>
        </w:tc>
      </w:tr>
      <w:tr>
        <w:tblPrEx>
          <w:tblCellMar>
            <w:top w:w="0" w:type="dxa"/>
            <w:left w:w="51" w:type="dxa"/>
            <w:bottom w:w="0" w:type="dxa"/>
            <w:right w:w="51" w:type="dxa"/>
          </w:tblCellMar>
        </w:tblPrEx>
        <w:trPr>
          <w:trHeight w:val="475" w:hRule="atLeast"/>
          <w:tblHeader/>
        </w:trPr>
        <w:tc>
          <w:tcPr>
            <w:tcW w:w="2178" w:type="dxa"/>
            <w:vMerge w:val="continue"/>
            <w:tcBorders>
              <w:left w:val="single" w:color="auto" w:sz="4" w:space="0"/>
              <w:bottom w:val="single" w:color="auto" w:sz="4" w:space="0"/>
              <w:right w:val="single" w:color="auto" w:sz="4" w:space="0"/>
            </w:tcBorders>
            <w:vAlign w:val="center"/>
          </w:tcPr>
          <w:p>
            <w:pPr>
              <w:spacing w:line="260" w:lineRule="exact"/>
              <w:ind w:firstLine="0" w:firstLineChars="0"/>
              <w:jc w:val="center"/>
              <w:rPr>
                <w:rFonts w:cs="Times New Roman"/>
                <w:color w:val="000000"/>
                <w:kern w:val="0"/>
                <w:sz w:val="20"/>
                <w:szCs w:val="20"/>
              </w:rPr>
            </w:pPr>
          </w:p>
        </w:tc>
        <w:tc>
          <w:tcPr>
            <w:tcW w:w="721" w:type="dxa"/>
            <w:vMerge w:val="continue"/>
            <w:tcBorders>
              <w:left w:val="single" w:color="auto" w:sz="4" w:space="0"/>
              <w:bottom w:val="single" w:color="auto" w:sz="4" w:space="0"/>
              <w:right w:val="single" w:color="auto" w:sz="4" w:space="0"/>
            </w:tcBorders>
            <w:vAlign w:val="center"/>
          </w:tcPr>
          <w:p>
            <w:pPr>
              <w:spacing w:line="260" w:lineRule="exact"/>
              <w:ind w:firstLine="0" w:firstLineChars="0"/>
              <w:jc w:val="center"/>
              <w:rPr>
                <w:rFonts w:cs="Times New Roman"/>
                <w:color w:val="000000"/>
                <w:kern w:val="0"/>
                <w:sz w:val="20"/>
                <w:szCs w:val="20"/>
              </w:rPr>
            </w:pPr>
          </w:p>
        </w:tc>
        <w:tc>
          <w:tcPr>
            <w:tcW w:w="702" w:type="dxa"/>
            <w:vMerge w:val="continue"/>
            <w:tcBorders>
              <w:left w:val="single" w:color="auto" w:sz="4" w:space="0"/>
              <w:bottom w:val="single" w:color="auto" w:sz="4" w:space="0"/>
              <w:right w:val="single" w:color="auto" w:sz="4" w:space="0"/>
            </w:tcBorders>
            <w:vAlign w:val="center"/>
          </w:tcPr>
          <w:p>
            <w:pPr>
              <w:spacing w:line="260" w:lineRule="exact"/>
              <w:ind w:firstLine="0" w:firstLineChars="0"/>
              <w:jc w:val="center"/>
              <w:rPr>
                <w:rFonts w:cs="Times New Roman"/>
                <w:color w:val="000000"/>
                <w:kern w:val="0"/>
                <w:sz w:val="20"/>
                <w:szCs w:val="20"/>
              </w:rPr>
            </w:pPr>
          </w:p>
        </w:tc>
        <w:tc>
          <w:tcPr>
            <w:tcW w:w="821" w:type="dxa"/>
            <w:tcBorders>
              <w:top w:val="single" w:color="auto" w:sz="4" w:space="0"/>
              <w:left w:val="single" w:color="auto" w:sz="4" w:space="0"/>
              <w:bottom w:val="single" w:color="auto" w:sz="4" w:space="0"/>
              <w:right w:val="single" w:color="auto" w:sz="4" w:space="0"/>
            </w:tcBorders>
            <w:vAlign w:val="center"/>
          </w:tcPr>
          <w:p>
            <w:pPr>
              <w:spacing w:line="260" w:lineRule="exact"/>
              <w:ind w:firstLine="0" w:firstLineChars="0"/>
              <w:jc w:val="center"/>
              <w:rPr>
                <w:rFonts w:cs="Times New Roman"/>
                <w:color w:val="000000"/>
                <w:kern w:val="0"/>
                <w:sz w:val="20"/>
                <w:szCs w:val="20"/>
              </w:rPr>
            </w:pPr>
            <w:r>
              <w:rPr>
                <w:rFonts w:cs="Times New Roman"/>
                <w:color w:val="000000"/>
                <w:kern w:val="0"/>
                <w:sz w:val="20"/>
                <w:szCs w:val="20"/>
              </w:rPr>
              <w:t>中央</w:t>
            </w:r>
          </w:p>
        </w:tc>
        <w:tc>
          <w:tcPr>
            <w:tcW w:w="730" w:type="dxa"/>
            <w:tcBorders>
              <w:top w:val="single" w:color="auto" w:sz="4" w:space="0"/>
              <w:left w:val="nil"/>
              <w:bottom w:val="single" w:color="auto" w:sz="4" w:space="0"/>
              <w:right w:val="single" w:color="auto" w:sz="4" w:space="0"/>
            </w:tcBorders>
            <w:vAlign w:val="center"/>
          </w:tcPr>
          <w:p>
            <w:pPr>
              <w:spacing w:line="260" w:lineRule="exact"/>
              <w:ind w:firstLine="0" w:firstLineChars="0"/>
              <w:jc w:val="center"/>
              <w:rPr>
                <w:rFonts w:cs="Times New Roman"/>
                <w:color w:val="000000"/>
                <w:kern w:val="0"/>
                <w:sz w:val="20"/>
                <w:szCs w:val="20"/>
              </w:rPr>
            </w:pPr>
            <w:r>
              <w:rPr>
                <w:rFonts w:hint="eastAsia" w:cs="Times New Roman"/>
                <w:color w:val="000000"/>
                <w:kern w:val="0"/>
                <w:sz w:val="20"/>
                <w:szCs w:val="20"/>
              </w:rPr>
              <w:t>省级</w:t>
            </w:r>
          </w:p>
        </w:tc>
        <w:tc>
          <w:tcPr>
            <w:tcW w:w="71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cs="Times New Roman"/>
                <w:color w:val="000000"/>
                <w:kern w:val="0"/>
                <w:sz w:val="20"/>
                <w:szCs w:val="20"/>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cs="Times New Roman"/>
                <w:color w:val="000000"/>
                <w:kern w:val="0"/>
                <w:sz w:val="20"/>
                <w:szCs w:val="20"/>
              </w:rPr>
            </w:pPr>
            <w:r>
              <w:rPr>
                <w:rFonts w:hint="eastAsia" w:cs="Times New Roman"/>
                <w:color w:val="000000"/>
                <w:kern w:val="0"/>
                <w:sz w:val="20"/>
                <w:szCs w:val="20"/>
              </w:rPr>
              <w:t>中央</w:t>
            </w:r>
          </w:p>
        </w:tc>
        <w:tc>
          <w:tcPr>
            <w:tcW w:w="848" w:type="dxa"/>
            <w:tcBorders>
              <w:top w:val="single" w:color="auto" w:sz="4" w:space="0"/>
              <w:left w:val="single" w:color="auto" w:sz="4" w:space="0"/>
              <w:bottom w:val="single" w:color="auto" w:sz="4" w:space="0"/>
              <w:right w:val="single" w:color="auto" w:sz="4" w:space="0"/>
            </w:tcBorders>
            <w:vAlign w:val="center"/>
          </w:tcPr>
          <w:p>
            <w:pPr>
              <w:spacing w:line="260" w:lineRule="exact"/>
              <w:ind w:firstLine="0" w:firstLineChars="0"/>
              <w:jc w:val="center"/>
              <w:rPr>
                <w:rFonts w:cs="Times New Roman"/>
                <w:color w:val="000000"/>
                <w:kern w:val="0"/>
                <w:sz w:val="20"/>
                <w:szCs w:val="20"/>
              </w:rPr>
            </w:pPr>
            <w:r>
              <w:rPr>
                <w:rFonts w:hint="eastAsia" w:cs="Times New Roman"/>
                <w:color w:val="000000"/>
                <w:kern w:val="0"/>
                <w:sz w:val="20"/>
                <w:szCs w:val="20"/>
              </w:rPr>
              <w:t>省级</w:t>
            </w:r>
          </w:p>
        </w:tc>
        <w:tc>
          <w:tcPr>
            <w:tcW w:w="994" w:type="dxa"/>
            <w:vMerge w:val="continue"/>
            <w:tcBorders>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cs="Times New Roman"/>
                <w:color w:val="000000"/>
                <w:kern w:val="0"/>
                <w:sz w:val="20"/>
                <w:szCs w:val="20"/>
              </w:rPr>
            </w:pPr>
          </w:p>
        </w:tc>
      </w:tr>
      <w:tr>
        <w:tblPrEx>
          <w:tblCellMar>
            <w:top w:w="0" w:type="dxa"/>
            <w:left w:w="51" w:type="dxa"/>
            <w:bottom w:w="0" w:type="dxa"/>
            <w:right w:w="51" w:type="dxa"/>
          </w:tblCellMar>
        </w:tblPrEx>
        <w:trPr>
          <w:trHeight w:val="297" w:hRule="atLeast"/>
        </w:trPr>
        <w:tc>
          <w:tcPr>
            <w:tcW w:w="217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cs="Times New Roman"/>
                <w:kern w:val="0"/>
                <w:sz w:val="20"/>
                <w:szCs w:val="20"/>
              </w:rPr>
            </w:pPr>
            <w:r>
              <w:rPr>
                <w:rFonts w:hint="eastAsia" w:cs="Times New Roman"/>
                <w:kern w:val="0"/>
                <w:sz w:val="20"/>
                <w:szCs w:val="20"/>
              </w:rPr>
              <w:t>重点中型灌区节水配套改造</w:t>
            </w:r>
          </w:p>
        </w:tc>
        <w:tc>
          <w:tcPr>
            <w:tcW w:w="7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color w:val="000000"/>
                <w:kern w:val="0"/>
                <w:sz w:val="20"/>
                <w:szCs w:val="20"/>
                <w:lang w:val="en-US" w:eastAsia="zh-CN"/>
              </w:rPr>
            </w:pPr>
            <w:r>
              <w:rPr>
                <w:rFonts w:hint="eastAsia" w:cs="Times New Roman"/>
                <w:color w:val="000000"/>
                <w:kern w:val="0"/>
                <w:sz w:val="20"/>
                <w:szCs w:val="20"/>
                <w:lang w:val="en-US" w:eastAsia="zh-CN"/>
              </w:rPr>
              <w:t>1840</w:t>
            </w:r>
          </w:p>
        </w:tc>
        <w:tc>
          <w:tcPr>
            <w:tcW w:w="70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color w:val="000000"/>
                <w:kern w:val="0"/>
                <w:sz w:val="20"/>
                <w:szCs w:val="20"/>
                <w:lang w:val="en-US" w:eastAsia="zh-CN"/>
              </w:rPr>
            </w:pPr>
            <w:r>
              <w:rPr>
                <w:rFonts w:hint="eastAsia" w:cs="Times New Roman"/>
                <w:color w:val="000000"/>
                <w:kern w:val="0"/>
                <w:sz w:val="20"/>
                <w:szCs w:val="20"/>
                <w:lang w:val="en-US" w:eastAsia="zh-CN"/>
              </w:rPr>
              <w:t>1840</w:t>
            </w:r>
          </w:p>
        </w:tc>
        <w:tc>
          <w:tcPr>
            <w:tcW w:w="8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color w:val="000000"/>
                <w:kern w:val="0"/>
                <w:sz w:val="20"/>
                <w:szCs w:val="20"/>
                <w:lang w:val="en-US" w:eastAsia="zh-CN"/>
              </w:rPr>
            </w:pPr>
            <w:r>
              <w:rPr>
                <w:rFonts w:hint="eastAsia" w:cs="Times New Roman"/>
                <w:color w:val="000000"/>
                <w:kern w:val="0"/>
                <w:sz w:val="20"/>
                <w:szCs w:val="20"/>
                <w:lang w:val="en-US" w:eastAsia="zh-CN"/>
              </w:rPr>
              <w:t>1700</w:t>
            </w:r>
          </w:p>
        </w:tc>
        <w:tc>
          <w:tcPr>
            <w:tcW w:w="730" w:type="dxa"/>
            <w:tcBorders>
              <w:top w:val="single" w:color="auto" w:sz="4" w:space="0"/>
              <w:left w:val="nil"/>
              <w:bottom w:val="single" w:color="auto" w:sz="4" w:space="0"/>
              <w:right w:val="single" w:color="auto" w:sz="4" w:space="0"/>
            </w:tcBorders>
            <w:vAlign w:val="center"/>
          </w:tcPr>
          <w:p>
            <w:pPr>
              <w:spacing w:line="260" w:lineRule="exact"/>
              <w:ind w:firstLine="0" w:firstLineChars="0"/>
              <w:jc w:val="center"/>
              <w:rPr>
                <w:rFonts w:hint="default" w:eastAsia="仿宋_GB2312" w:cs="Times New Roman"/>
                <w:color w:val="000000"/>
                <w:kern w:val="0"/>
                <w:sz w:val="20"/>
                <w:szCs w:val="20"/>
                <w:lang w:val="en-US" w:eastAsia="zh-CN"/>
              </w:rPr>
            </w:pPr>
            <w:r>
              <w:rPr>
                <w:rFonts w:hint="eastAsia" w:cs="Times New Roman"/>
                <w:color w:val="000000"/>
                <w:kern w:val="0"/>
                <w:sz w:val="20"/>
                <w:szCs w:val="20"/>
                <w:lang w:val="en-US" w:eastAsia="zh-CN"/>
              </w:rPr>
              <w:t>140</w:t>
            </w:r>
          </w:p>
        </w:tc>
        <w:tc>
          <w:tcPr>
            <w:tcW w:w="71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color w:val="000000"/>
                <w:kern w:val="0"/>
                <w:sz w:val="20"/>
                <w:szCs w:val="20"/>
                <w:lang w:val="en-US" w:eastAsia="zh-CN"/>
              </w:rPr>
            </w:pPr>
            <w:r>
              <w:rPr>
                <w:rFonts w:hint="eastAsia" w:cs="Times New Roman"/>
                <w:color w:val="000000"/>
                <w:kern w:val="0"/>
                <w:sz w:val="20"/>
                <w:szCs w:val="20"/>
                <w:lang w:val="en-US" w:eastAsia="zh-CN"/>
              </w:rPr>
              <w:t>1840</w:t>
            </w:r>
          </w:p>
        </w:tc>
        <w:tc>
          <w:tcPr>
            <w:tcW w:w="851"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color w:val="000000"/>
                <w:kern w:val="0"/>
                <w:sz w:val="20"/>
                <w:szCs w:val="20"/>
                <w:lang w:val="en-US" w:eastAsia="zh-CN"/>
              </w:rPr>
            </w:pPr>
            <w:r>
              <w:rPr>
                <w:rFonts w:hint="eastAsia" w:cs="Times New Roman"/>
                <w:color w:val="000000"/>
                <w:kern w:val="0"/>
                <w:sz w:val="20"/>
                <w:szCs w:val="20"/>
                <w:lang w:val="en-US" w:eastAsia="zh-CN"/>
              </w:rPr>
              <w:t>1700</w:t>
            </w:r>
          </w:p>
        </w:tc>
        <w:tc>
          <w:tcPr>
            <w:tcW w:w="848" w:type="dxa"/>
            <w:tcBorders>
              <w:top w:val="single" w:color="auto" w:sz="4" w:space="0"/>
              <w:left w:val="nil"/>
              <w:bottom w:val="single" w:color="auto" w:sz="4" w:space="0"/>
              <w:right w:val="single" w:color="auto" w:sz="4" w:space="0"/>
            </w:tcBorders>
            <w:vAlign w:val="center"/>
          </w:tcPr>
          <w:p>
            <w:pPr>
              <w:spacing w:line="260" w:lineRule="exact"/>
              <w:ind w:firstLine="0" w:firstLineChars="0"/>
              <w:jc w:val="center"/>
              <w:rPr>
                <w:rFonts w:hint="default" w:eastAsia="仿宋_GB2312" w:cs="Times New Roman"/>
                <w:color w:val="000000"/>
                <w:kern w:val="0"/>
                <w:sz w:val="20"/>
                <w:szCs w:val="20"/>
                <w:lang w:val="en-US" w:eastAsia="zh-CN"/>
              </w:rPr>
            </w:pPr>
            <w:r>
              <w:rPr>
                <w:rFonts w:hint="eastAsia" w:cs="Times New Roman"/>
                <w:color w:val="000000"/>
                <w:kern w:val="0"/>
                <w:sz w:val="20"/>
                <w:szCs w:val="20"/>
                <w:lang w:val="en-US" w:eastAsia="zh-CN"/>
              </w:rPr>
              <w:t>140</w:t>
            </w:r>
          </w:p>
        </w:tc>
        <w:tc>
          <w:tcPr>
            <w:tcW w:w="994" w:type="dxa"/>
            <w:tcBorders>
              <w:top w:val="nil"/>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color w:val="000000"/>
                <w:kern w:val="0"/>
                <w:sz w:val="20"/>
                <w:szCs w:val="20"/>
                <w:lang w:val="en-US" w:eastAsia="zh-CN"/>
              </w:rPr>
            </w:pPr>
            <w:r>
              <w:rPr>
                <w:rFonts w:hint="eastAsia" w:cs="Times New Roman"/>
                <w:color w:val="000000"/>
                <w:kern w:val="0"/>
                <w:sz w:val="20"/>
                <w:szCs w:val="20"/>
                <w:lang w:val="en-US" w:eastAsia="zh-CN"/>
              </w:rPr>
              <w:t>100%</w:t>
            </w:r>
          </w:p>
        </w:tc>
      </w:tr>
      <w:tr>
        <w:tblPrEx>
          <w:tblCellMar>
            <w:top w:w="0" w:type="dxa"/>
            <w:left w:w="51" w:type="dxa"/>
            <w:bottom w:w="0" w:type="dxa"/>
            <w:right w:w="51" w:type="dxa"/>
          </w:tblCellMar>
        </w:tblPrEx>
        <w:trPr>
          <w:trHeight w:val="627" w:hRule="atLeast"/>
        </w:trPr>
        <w:tc>
          <w:tcPr>
            <w:tcW w:w="217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cs="Times New Roman"/>
                <w:kern w:val="0"/>
                <w:sz w:val="20"/>
                <w:szCs w:val="20"/>
              </w:rPr>
            </w:pPr>
            <w:r>
              <w:rPr>
                <w:rFonts w:hint="eastAsia" w:cs="Times New Roman"/>
                <w:kern w:val="0"/>
                <w:sz w:val="20"/>
                <w:szCs w:val="20"/>
              </w:rPr>
              <w:t>水土流失综合治理</w:t>
            </w:r>
          </w:p>
        </w:tc>
        <w:tc>
          <w:tcPr>
            <w:tcW w:w="7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color w:val="000000"/>
                <w:kern w:val="0"/>
                <w:sz w:val="20"/>
                <w:szCs w:val="20"/>
                <w:lang w:val="en-US" w:eastAsia="zh-CN"/>
              </w:rPr>
            </w:pPr>
            <w:r>
              <w:rPr>
                <w:rFonts w:hint="eastAsia" w:cs="Times New Roman"/>
                <w:color w:val="000000"/>
                <w:kern w:val="0"/>
                <w:sz w:val="20"/>
                <w:szCs w:val="20"/>
                <w:lang w:val="en-US" w:eastAsia="zh-CN"/>
              </w:rPr>
              <w:t>450</w:t>
            </w:r>
          </w:p>
        </w:tc>
        <w:tc>
          <w:tcPr>
            <w:tcW w:w="70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color w:val="000000"/>
                <w:kern w:val="0"/>
                <w:sz w:val="20"/>
                <w:szCs w:val="20"/>
                <w:lang w:val="en-US" w:eastAsia="zh-CN"/>
              </w:rPr>
            </w:pPr>
            <w:r>
              <w:rPr>
                <w:rFonts w:hint="eastAsia" w:cs="Times New Roman"/>
                <w:color w:val="000000"/>
                <w:kern w:val="0"/>
                <w:sz w:val="20"/>
                <w:szCs w:val="20"/>
                <w:lang w:val="en-US" w:eastAsia="zh-CN"/>
              </w:rPr>
              <w:t>450</w:t>
            </w:r>
          </w:p>
        </w:tc>
        <w:tc>
          <w:tcPr>
            <w:tcW w:w="8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color w:val="000000"/>
                <w:kern w:val="0"/>
                <w:sz w:val="20"/>
                <w:szCs w:val="20"/>
                <w:lang w:val="en-US" w:eastAsia="zh-CN"/>
              </w:rPr>
            </w:pPr>
            <w:r>
              <w:rPr>
                <w:rFonts w:hint="eastAsia" w:cs="Times New Roman"/>
                <w:color w:val="000000"/>
                <w:kern w:val="0"/>
                <w:sz w:val="20"/>
                <w:szCs w:val="20"/>
                <w:lang w:val="en-US" w:eastAsia="zh-CN"/>
              </w:rPr>
              <w:t>450</w:t>
            </w:r>
          </w:p>
        </w:tc>
        <w:tc>
          <w:tcPr>
            <w:tcW w:w="730" w:type="dxa"/>
            <w:tcBorders>
              <w:top w:val="single" w:color="auto" w:sz="4" w:space="0"/>
              <w:left w:val="nil"/>
              <w:bottom w:val="single" w:color="auto" w:sz="4" w:space="0"/>
              <w:right w:val="single" w:color="auto" w:sz="4" w:space="0"/>
            </w:tcBorders>
            <w:vAlign w:val="center"/>
          </w:tcPr>
          <w:p>
            <w:pPr>
              <w:spacing w:line="260" w:lineRule="exact"/>
              <w:ind w:firstLine="0" w:firstLineChars="0"/>
              <w:jc w:val="center"/>
              <w:rPr>
                <w:rFonts w:cs="Times New Roman"/>
                <w:color w:val="000000"/>
                <w:kern w:val="0"/>
                <w:sz w:val="20"/>
                <w:szCs w:val="20"/>
              </w:rPr>
            </w:pPr>
          </w:p>
        </w:tc>
        <w:tc>
          <w:tcPr>
            <w:tcW w:w="71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color w:val="000000"/>
                <w:kern w:val="0"/>
                <w:sz w:val="20"/>
                <w:szCs w:val="20"/>
                <w:lang w:val="en-US" w:eastAsia="zh-CN"/>
              </w:rPr>
            </w:pPr>
            <w:r>
              <w:rPr>
                <w:rFonts w:hint="eastAsia" w:cs="Times New Roman"/>
                <w:color w:val="000000"/>
                <w:kern w:val="0"/>
                <w:sz w:val="20"/>
                <w:szCs w:val="20"/>
                <w:lang w:val="en-US" w:eastAsia="zh-CN"/>
              </w:rPr>
              <w:t>450</w:t>
            </w:r>
          </w:p>
        </w:tc>
        <w:tc>
          <w:tcPr>
            <w:tcW w:w="851"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color w:val="000000"/>
                <w:kern w:val="0"/>
                <w:sz w:val="20"/>
                <w:szCs w:val="20"/>
                <w:lang w:val="en-US" w:eastAsia="zh-CN"/>
              </w:rPr>
            </w:pPr>
            <w:r>
              <w:rPr>
                <w:rFonts w:hint="eastAsia" w:cs="Times New Roman"/>
                <w:color w:val="000000"/>
                <w:kern w:val="0"/>
                <w:sz w:val="20"/>
                <w:szCs w:val="20"/>
                <w:lang w:val="en-US" w:eastAsia="zh-CN"/>
              </w:rPr>
              <w:t>450</w:t>
            </w:r>
          </w:p>
        </w:tc>
        <w:tc>
          <w:tcPr>
            <w:tcW w:w="848" w:type="dxa"/>
            <w:tcBorders>
              <w:top w:val="single" w:color="auto" w:sz="4" w:space="0"/>
              <w:left w:val="single" w:color="auto" w:sz="4" w:space="0"/>
              <w:bottom w:val="single" w:color="auto" w:sz="4" w:space="0"/>
              <w:right w:val="single" w:color="auto" w:sz="4" w:space="0"/>
            </w:tcBorders>
            <w:vAlign w:val="center"/>
          </w:tcPr>
          <w:p>
            <w:pPr>
              <w:spacing w:line="260" w:lineRule="exact"/>
              <w:ind w:firstLine="0" w:firstLineChars="0"/>
              <w:jc w:val="center"/>
              <w:rPr>
                <w:rFonts w:cs="Times New Roman"/>
                <w:color w:val="000000"/>
                <w:kern w:val="0"/>
                <w:sz w:val="20"/>
                <w:szCs w:val="20"/>
              </w:rPr>
            </w:pPr>
          </w:p>
        </w:tc>
        <w:tc>
          <w:tcPr>
            <w:tcW w:w="9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color w:val="000000"/>
                <w:kern w:val="0"/>
                <w:sz w:val="20"/>
                <w:szCs w:val="20"/>
                <w:lang w:val="en-US" w:eastAsia="zh-CN"/>
              </w:rPr>
            </w:pPr>
            <w:r>
              <w:rPr>
                <w:rFonts w:hint="eastAsia" w:cs="Times New Roman"/>
                <w:color w:val="000000"/>
                <w:kern w:val="0"/>
                <w:sz w:val="20"/>
                <w:szCs w:val="20"/>
                <w:lang w:val="en-US" w:eastAsia="zh-CN"/>
              </w:rPr>
              <w:t>100%</w:t>
            </w:r>
          </w:p>
        </w:tc>
      </w:tr>
      <w:tr>
        <w:tblPrEx>
          <w:tblCellMar>
            <w:top w:w="0" w:type="dxa"/>
            <w:left w:w="51" w:type="dxa"/>
            <w:bottom w:w="0" w:type="dxa"/>
            <w:right w:w="51" w:type="dxa"/>
          </w:tblCellMar>
        </w:tblPrEx>
        <w:trPr>
          <w:trHeight w:val="315" w:hRule="atLeast"/>
        </w:trPr>
        <w:tc>
          <w:tcPr>
            <w:tcW w:w="217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cs="Times New Roman"/>
                <w:kern w:val="0"/>
                <w:sz w:val="20"/>
                <w:szCs w:val="20"/>
              </w:rPr>
            </w:pPr>
            <w:r>
              <w:rPr>
                <w:rFonts w:hint="eastAsia" w:cs="Times New Roman"/>
                <w:kern w:val="0"/>
                <w:sz w:val="20"/>
                <w:szCs w:val="20"/>
              </w:rPr>
              <w:t>最严格水资源管理制度考核</w:t>
            </w:r>
          </w:p>
        </w:tc>
        <w:tc>
          <w:tcPr>
            <w:tcW w:w="7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kern w:val="0"/>
                <w:sz w:val="20"/>
                <w:szCs w:val="20"/>
                <w:lang w:val="en-US" w:eastAsia="zh-CN"/>
              </w:rPr>
            </w:pPr>
            <w:r>
              <w:rPr>
                <w:rFonts w:hint="eastAsia" w:cs="Times New Roman"/>
                <w:kern w:val="0"/>
                <w:sz w:val="20"/>
                <w:szCs w:val="20"/>
                <w:lang w:val="en-US" w:eastAsia="zh-CN"/>
              </w:rPr>
              <w:t>20</w:t>
            </w:r>
          </w:p>
        </w:tc>
        <w:tc>
          <w:tcPr>
            <w:tcW w:w="70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kern w:val="0"/>
                <w:sz w:val="20"/>
                <w:szCs w:val="20"/>
                <w:lang w:val="en-US" w:eastAsia="zh-CN"/>
              </w:rPr>
            </w:pPr>
            <w:r>
              <w:rPr>
                <w:rFonts w:hint="eastAsia" w:cs="Times New Roman"/>
                <w:kern w:val="0"/>
                <w:sz w:val="20"/>
                <w:szCs w:val="20"/>
                <w:lang w:val="en-US" w:eastAsia="zh-CN"/>
              </w:rPr>
              <w:t>20</w:t>
            </w:r>
          </w:p>
        </w:tc>
        <w:tc>
          <w:tcPr>
            <w:tcW w:w="8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kern w:val="0"/>
                <w:sz w:val="20"/>
                <w:szCs w:val="20"/>
                <w:lang w:val="en-US" w:eastAsia="zh-CN"/>
              </w:rPr>
            </w:pPr>
            <w:r>
              <w:rPr>
                <w:rFonts w:hint="eastAsia" w:cs="Times New Roman"/>
                <w:kern w:val="0"/>
                <w:sz w:val="20"/>
                <w:szCs w:val="20"/>
                <w:lang w:val="en-US" w:eastAsia="zh-CN"/>
              </w:rPr>
              <w:t>20</w:t>
            </w:r>
          </w:p>
        </w:tc>
        <w:tc>
          <w:tcPr>
            <w:tcW w:w="730" w:type="dxa"/>
            <w:tcBorders>
              <w:top w:val="single" w:color="auto" w:sz="4" w:space="0"/>
              <w:left w:val="nil"/>
              <w:bottom w:val="single" w:color="auto" w:sz="4" w:space="0"/>
              <w:right w:val="single" w:color="auto" w:sz="4" w:space="0"/>
            </w:tcBorders>
            <w:vAlign w:val="center"/>
          </w:tcPr>
          <w:p>
            <w:pPr>
              <w:spacing w:line="260" w:lineRule="exact"/>
              <w:ind w:firstLine="0" w:firstLineChars="0"/>
              <w:jc w:val="center"/>
              <w:rPr>
                <w:rFonts w:cs="Times New Roman"/>
                <w:kern w:val="0"/>
                <w:sz w:val="20"/>
                <w:szCs w:val="20"/>
              </w:rPr>
            </w:pPr>
          </w:p>
        </w:tc>
        <w:tc>
          <w:tcPr>
            <w:tcW w:w="71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kern w:val="0"/>
                <w:sz w:val="20"/>
                <w:szCs w:val="20"/>
                <w:lang w:val="en-US" w:eastAsia="zh-CN"/>
              </w:rPr>
            </w:pPr>
            <w:r>
              <w:rPr>
                <w:rFonts w:hint="eastAsia" w:cs="Times New Roman"/>
                <w:kern w:val="0"/>
                <w:sz w:val="20"/>
                <w:szCs w:val="20"/>
                <w:lang w:val="en-US" w:eastAsia="zh-CN"/>
              </w:rPr>
              <w:t>20</w:t>
            </w:r>
          </w:p>
        </w:tc>
        <w:tc>
          <w:tcPr>
            <w:tcW w:w="851"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kern w:val="0"/>
                <w:sz w:val="20"/>
                <w:szCs w:val="20"/>
                <w:lang w:val="en-US" w:eastAsia="zh-CN"/>
              </w:rPr>
            </w:pPr>
            <w:r>
              <w:rPr>
                <w:rFonts w:hint="eastAsia" w:cs="Times New Roman"/>
                <w:kern w:val="0"/>
                <w:sz w:val="20"/>
                <w:szCs w:val="20"/>
                <w:lang w:val="en-US" w:eastAsia="zh-CN"/>
              </w:rPr>
              <w:t>20</w:t>
            </w:r>
          </w:p>
        </w:tc>
        <w:tc>
          <w:tcPr>
            <w:tcW w:w="848" w:type="dxa"/>
            <w:tcBorders>
              <w:top w:val="single" w:color="auto" w:sz="4" w:space="0"/>
              <w:left w:val="single" w:color="auto" w:sz="4" w:space="0"/>
              <w:bottom w:val="single" w:color="auto" w:sz="4" w:space="0"/>
              <w:right w:val="single" w:color="auto" w:sz="4" w:space="0"/>
            </w:tcBorders>
            <w:vAlign w:val="center"/>
          </w:tcPr>
          <w:p>
            <w:pPr>
              <w:spacing w:line="260" w:lineRule="exact"/>
              <w:ind w:firstLine="0" w:firstLineChars="0"/>
              <w:jc w:val="center"/>
              <w:rPr>
                <w:rFonts w:cs="Times New Roman"/>
                <w:kern w:val="0"/>
                <w:sz w:val="20"/>
                <w:szCs w:val="20"/>
              </w:rPr>
            </w:pPr>
          </w:p>
        </w:tc>
        <w:tc>
          <w:tcPr>
            <w:tcW w:w="9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kern w:val="0"/>
                <w:sz w:val="20"/>
                <w:szCs w:val="20"/>
                <w:lang w:val="en-US" w:eastAsia="zh-CN"/>
              </w:rPr>
            </w:pPr>
            <w:r>
              <w:rPr>
                <w:rFonts w:hint="eastAsia" w:cs="Times New Roman"/>
                <w:kern w:val="0"/>
                <w:sz w:val="20"/>
                <w:szCs w:val="20"/>
                <w:lang w:val="en-US" w:eastAsia="zh-CN"/>
              </w:rPr>
              <w:t>100%</w:t>
            </w:r>
          </w:p>
        </w:tc>
      </w:tr>
      <w:tr>
        <w:tblPrEx>
          <w:tblCellMar>
            <w:top w:w="0" w:type="dxa"/>
            <w:left w:w="51" w:type="dxa"/>
            <w:bottom w:w="0" w:type="dxa"/>
            <w:right w:w="51" w:type="dxa"/>
          </w:tblCellMar>
        </w:tblPrEx>
        <w:trPr>
          <w:trHeight w:val="50" w:hRule="atLeast"/>
        </w:trPr>
        <w:tc>
          <w:tcPr>
            <w:tcW w:w="217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cs="Times New Roman"/>
                <w:kern w:val="0"/>
                <w:sz w:val="20"/>
                <w:szCs w:val="20"/>
              </w:rPr>
            </w:pPr>
            <w:r>
              <w:rPr>
                <w:rFonts w:hint="eastAsia" w:cs="Times New Roman"/>
                <w:kern w:val="0"/>
                <w:sz w:val="20"/>
                <w:szCs w:val="20"/>
              </w:rPr>
              <w:t>山洪灾害防治非工程措施</w:t>
            </w:r>
          </w:p>
        </w:tc>
        <w:tc>
          <w:tcPr>
            <w:tcW w:w="7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kern w:val="0"/>
                <w:sz w:val="20"/>
                <w:szCs w:val="20"/>
                <w:lang w:val="en-US" w:eastAsia="zh-CN"/>
              </w:rPr>
            </w:pPr>
            <w:r>
              <w:rPr>
                <w:rFonts w:hint="eastAsia" w:cs="Times New Roman"/>
                <w:kern w:val="0"/>
                <w:sz w:val="20"/>
                <w:szCs w:val="20"/>
                <w:lang w:val="en-US" w:eastAsia="zh-CN"/>
              </w:rPr>
              <w:t>10</w:t>
            </w:r>
          </w:p>
        </w:tc>
        <w:tc>
          <w:tcPr>
            <w:tcW w:w="70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kern w:val="0"/>
                <w:sz w:val="20"/>
                <w:szCs w:val="20"/>
                <w:lang w:val="en-US" w:eastAsia="zh-CN"/>
              </w:rPr>
            </w:pPr>
            <w:r>
              <w:rPr>
                <w:rFonts w:hint="eastAsia" w:cs="Times New Roman"/>
                <w:kern w:val="0"/>
                <w:sz w:val="20"/>
                <w:szCs w:val="20"/>
                <w:lang w:val="en-US" w:eastAsia="zh-CN"/>
              </w:rPr>
              <w:t>10</w:t>
            </w:r>
          </w:p>
        </w:tc>
        <w:tc>
          <w:tcPr>
            <w:tcW w:w="8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kern w:val="0"/>
                <w:sz w:val="20"/>
                <w:szCs w:val="20"/>
                <w:lang w:val="en-US" w:eastAsia="zh-CN"/>
              </w:rPr>
            </w:pPr>
            <w:r>
              <w:rPr>
                <w:rFonts w:hint="eastAsia" w:cs="Times New Roman"/>
                <w:kern w:val="0"/>
                <w:sz w:val="20"/>
                <w:szCs w:val="20"/>
                <w:lang w:val="en-US" w:eastAsia="zh-CN"/>
              </w:rPr>
              <w:t>10</w:t>
            </w:r>
          </w:p>
        </w:tc>
        <w:tc>
          <w:tcPr>
            <w:tcW w:w="730" w:type="dxa"/>
            <w:tcBorders>
              <w:top w:val="single" w:color="auto" w:sz="4" w:space="0"/>
              <w:left w:val="nil"/>
              <w:bottom w:val="single" w:color="auto" w:sz="4" w:space="0"/>
              <w:right w:val="single" w:color="auto" w:sz="4" w:space="0"/>
            </w:tcBorders>
            <w:vAlign w:val="center"/>
          </w:tcPr>
          <w:p>
            <w:pPr>
              <w:spacing w:line="260" w:lineRule="exact"/>
              <w:ind w:firstLine="0" w:firstLineChars="0"/>
              <w:jc w:val="center"/>
              <w:rPr>
                <w:rFonts w:hint="default" w:eastAsia="仿宋_GB2312" w:cs="Times New Roman"/>
                <w:kern w:val="0"/>
                <w:sz w:val="20"/>
                <w:szCs w:val="20"/>
                <w:lang w:val="en-US" w:eastAsia="zh-CN"/>
              </w:rPr>
            </w:pPr>
          </w:p>
        </w:tc>
        <w:tc>
          <w:tcPr>
            <w:tcW w:w="71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kern w:val="0"/>
                <w:sz w:val="20"/>
                <w:szCs w:val="20"/>
                <w:lang w:val="en-US" w:eastAsia="zh-CN"/>
              </w:rPr>
            </w:pPr>
            <w:r>
              <w:rPr>
                <w:rFonts w:hint="eastAsia" w:cs="Times New Roman"/>
                <w:kern w:val="0"/>
                <w:sz w:val="20"/>
                <w:szCs w:val="20"/>
                <w:lang w:val="en-US" w:eastAsia="zh-CN"/>
              </w:rPr>
              <w:t>10</w:t>
            </w:r>
          </w:p>
        </w:tc>
        <w:tc>
          <w:tcPr>
            <w:tcW w:w="851"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kern w:val="0"/>
                <w:sz w:val="20"/>
                <w:szCs w:val="20"/>
                <w:lang w:val="en-US" w:eastAsia="zh-CN"/>
              </w:rPr>
            </w:pPr>
            <w:r>
              <w:rPr>
                <w:rFonts w:hint="eastAsia" w:cs="Times New Roman"/>
                <w:kern w:val="0"/>
                <w:sz w:val="20"/>
                <w:szCs w:val="20"/>
                <w:lang w:val="en-US" w:eastAsia="zh-CN"/>
              </w:rPr>
              <w:t>10</w:t>
            </w:r>
          </w:p>
        </w:tc>
        <w:tc>
          <w:tcPr>
            <w:tcW w:w="848" w:type="dxa"/>
            <w:tcBorders>
              <w:top w:val="single" w:color="auto" w:sz="4" w:space="0"/>
              <w:left w:val="single" w:color="auto" w:sz="4" w:space="0"/>
              <w:bottom w:val="single" w:color="auto" w:sz="4" w:space="0"/>
              <w:right w:val="single" w:color="auto" w:sz="4" w:space="0"/>
            </w:tcBorders>
            <w:vAlign w:val="center"/>
          </w:tcPr>
          <w:p>
            <w:pPr>
              <w:spacing w:line="260" w:lineRule="exact"/>
              <w:ind w:firstLine="0" w:firstLineChars="0"/>
              <w:jc w:val="center"/>
              <w:rPr>
                <w:rFonts w:hint="default" w:eastAsia="仿宋_GB2312" w:cs="Times New Roman"/>
                <w:kern w:val="0"/>
                <w:sz w:val="20"/>
                <w:szCs w:val="20"/>
                <w:lang w:val="en-US" w:eastAsia="zh-CN"/>
              </w:rPr>
            </w:pPr>
          </w:p>
        </w:tc>
        <w:tc>
          <w:tcPr>
            <w:tcW w:w="9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eastAsia="仿宋_GB2312" w:cs="Times New Roman"/>
                <w:kern w:val="0"/>
                <w:sz w:val="20"/>
                <w:szCs w:val="20"/>
                <w:lang w:val="en-US" w:eastAsia="zh-CN"/>
              </w:rPr>
            </w:pPr>
            <w:r>
              <w:rPr>
                <w:rFonts w:hint="eastAsia" w:cs="Times New Roman"/>
                <w:kern w:val="0"/>
                <w:sz w:val="20"/>
                <w:szCs w:val="20"/>
                <w:lang w:val="en-US" w:eastAsia="zh-CN"/>
              </w:rPr>
              <w:t>100%</w:t>
            </w:r>
          </w:p>
        </w:tc>
      </w:tr>
      <w:tr>
        <w:tblPrEx>
          <w:tblCellMar>
            <w:top w:w="0" w:type="dxa"/>
            <w:left w:w="51" w:type="dxa"/>
            <w:bottom w:w="0" w:type="dxa"/>
            <w:right w:w="51" w:type="dxa"/>
          </w:tblCellMar>
        </w:tblPrEx>
        <w:trPr>
          <w:trHeight w:val="50" w:hRule="atLeast"/>
        </w:trPr>
        <w:tc>
          <w:tcPr>
            <w:tcW w:w="217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ascii="Times New Roman" w:hAnsi="Times New Roman" w:eastAsia="仿宋_GB2312" w:cs="Times New Roman"/>
                <w:kern w:val="0"/>
                <w:sz w:val="20"/>
                <w:szCs w:val="20"/>
                <w:lang w:val="en-US" w:eastAsia="zh-CN" w:bidi="ar-SA"/>
              </w:rPr>
            </w:pPr>
            <w:r>
              <w:rPr>
                <w:rFonts w:hint="eastAsia" w:cs="Times New Roman"/>
                <w:kern w:val="0"/>
                <w:sz w:val="20"/>
                <w:szCs w:val="20"/>
              </w:rPr>
              <w:t>农村饮水工程维修养护</w:t>
            </w:r>
          </w:p>
        </w:tc>
        <w:tc>
          <w:tcPr>
            <w:tcW w:w="7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41</w:t>
            </w:r>
          </w:p>
        </w:tc>
        <w:tc>
          <w:tcPr>
            <w:tcW w:w="70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41</w:t>
            </w:r>
          </w:p>
        </w:tc>
        <w:tc>
          <w:tcPr>
            <w:tcW w:w="8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32</w:t>
            </w:r>
          </w:p>
        </w:tc>
        <w:tc>
          <w:tcPr>
            <w:tcW w:w="730" w:type="dxa"/>
            <w:tcBorders>
              <w:top w:val="single" w:color="auto" w:sz="4" w:space="0"/>
              <w:left w:val="nil"/>
              <w:bottom w:val="single" w:color="auto" w:sz="4" w:space="0"/>
              <w:right w:val="single" w:color="auto" w:sz="4" w:space="0"/>
            </w:tcBorders>
            <w:vAlign w:val="center"/>
          </w:tcPr>
          <w:p>
            <w:pPr>
              <w:spacing w:line="260" w:lineRule="exact"/>
              <w:ind w:firstLine="0" w:firstLineChars="0"/>
              <w:jc w:val="center"/>
              <w:rPr>
                <w:rFonts w:hint="default"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bidi="ar-SA"/>
              </w:rPr>
              <w:t>9</w:t>
            </w:r>
          </w:p>
        </w:tc>
        <w:tc>
          <w:tcPr>
            <w:tcW w:w="71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41</w:t>
            </w:r>
          </w:p>
        </w:tc>
        <w:tc>
          <w:tcPr>
            <w:tcW w:w="851"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32</w:t>
            </w:r>
          </w:p>
        </w:tc>
        <w:tc>
          <w:tcPr>
            <w:tcW w:w="848" w:type="dxa"/>
            <w:tcBorders>
              <w:top w:val="single" w:color="auto" w:sz="4" w:space="0"/>
              <w:left w:val="single" w:color="auto" w:sz="4" w:space="0"/>
              <w:bottom w:val="single" w:color="auto" w:sz="4" w:space="0"/>
              <w:right w:val="single" w:color="auto" w:sz="4" w:space="0"/>
            </w:tcBorders>
            <w:vAlign w:val="center"/>
          </w:tcPr>
          <w:p>
            <w:pPr>
              <w:spacing w:line="260" w:lineRule="exact"/>
              <w:ind w:firstLine="0" w:firstLineChars="0"/>
              <w:jc w:val="center"/>
              <w:rPr>
                <w:rFonts w:hint="default"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bidi="ar-SA"/>
              </w:rPr>
              <w:t>9</w:t>
            </w:r>
          </w:p>
        </w:tc>
        <w:tc>
          <w:tcPr>
            <w:tcW w:w="9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100%</w:t>
            </w:r>
          </w:p>
        </w:tc>
      </w:tr>
      <w:tr>
        <w:tblPrEx>
          <w:tblCellMar>
            <w:top w:w="0" w:type="dxa"/>
            <w:left w:w="51" w:type="dxa"/>
            <w:bottom w:w="0" w:type="dxa"/>
            <w:right w:w="51" w:type="dxa"/>
          </w:tblCellMar>
        </w:tblPrEx>
        <w:trPr>
          <w:trHeight w:val="50" w:hRule="atLeast"/>
        </w:trPr>
        <w:tc>
          <w:tcPr>
            <w:tcW w:w="217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ascii="Times New Roman" w:hAnsi="Times New Roman" w:eastAsia="仿宋_GB2312" w:cs="Times New Roman"/>
                <w:kern w:val="0"/>
                <w:sz w:val="20"/>
                <w:szCs w:val="20"/>
                <w:lang w:val="en-US" w:eastAsia="zh-CN" w:bidi="ar-SA"/>
              </w:rPr>
            </w:pPr>
            <w:r>
              <w:rPr>
                <w:rFonts w:hint="eastAsia" w:cs="Times New Roman"/>
                <w:kern w:val="0"/>
                <w:sz w:val="20"/>
                <w:szCs w:val="20"/>
              </w:rPr>
              <w:t>小型水库工程设施维修养护</w:t>
            </w:r>
          </w:p>
        </w:tc>
        <w:tc>
          <w:tcPr>
            <w:tcW w:w="7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55.34</w:t>
            </w:r>
          </w:p>
        </w:tc>
        <w:tc>
          <w:tcPr>
            <w:tcW w:w="70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55.34</w:t>
            </w:r>
          </w:p>
        </w:tc>
        <w:tc>
          <w:tcPr>
            <w:tcW w:w="8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36</w:t>
            </w:r>
          </w:p>
        </w:tc>
        <w:tc>
          <w:tcPr>
            <w:tcW w:w="730" w:type="dxa"/>
            <w:tcBorders>
              <w:top w:val="single" w:color="auto" w:sz="4" w:space="0"/>
              <w:left w:val="nil"/>
              <w:bottom w:val="single" w:color="auto" w:sz="4" w:space="0"/>
              <w:right w:val="single" w:color="auto" w:sz="4" w:space="0"/>
            </w:tcBorders>
            <w:vAlign w:val="center"/>
          </w:tcPr>
          <w:p>
            <w:pPr>
              <w:spacing w:line="260" w:lineRule="exact"/>
              <w:ind w:firstLine="0" w:firstLineChars="0"/>
              <w:jc w:val="center"/>
              <w:rPr>
                <w:rFonts w:hint="default"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19.34</w:t>
            </w:r>
          </w:p>
        </w:tc>
        <w:tc>
          <w:tcPr>
            <w:tcW w:w="71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55.34</w:t>
            </w:r>
          </w:p>
        </w:tc>
        <w:tc>
          <w:tcPr>
            <w:tcW w:w="851"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36</w:t>
            </w:r>
          </w:p>
        </w:tc>
        <w:tc>
          <w:tcPr>
            <w:tcW w:w="848" w:type="dxa"/>
            <w:tcBorders>
              <w:top w:val="single" w:color="auto" w:sz="4" w:space="0"/>
              <w:left w:val="single" w:color="auto" w:sz="4" w:space="0"/>
              <w:bottom w:val="single" w:color="auto" w:sz="4" w:space="0"/>
              <w:right w:val="single" w:color="auto" w:sz="4" w:space="0"/>
            </w:tcBorders>
            <w:vAlign w:val="center"/>
          </w:tcPr>
          <w:p>
            <w:pPr>
              <w:spacing w:line="260" w:lineRule="exact"/>
              <w:ind w:firstLine="0" w:firstLineChars="0"/>
              <w:jc w:val="center"/>
              <w:rPr>
                <w:rFonts w:hint="default"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19.34</w:t>
            </w:r>
          </w:p>
        </w:tc>
        <w:tc>
          <w:tcPr>
            <w:tcW w:w="9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100%</w:t>
            </w:r>
          </w:p>
        </w:tc>
      </w:tr>
      <w:tr>
        <w:tblPrEx>
          <w:tblCellMar>
            <w:top w:w="0" w:type="dxa"/>
            <w:left w:w="51" w:type="dxa"/>
            <w:bottom w:w="0" w:type="dxa"/>
            <w:right w:w="51" w:type="dxa"/>
          </w:tblCellMar>
        </w:tblPrEx>
        <w:trPr>
          <w:trHeight w:val="50" w:hRule="atLeast"/>
        </w:trPr>
        <w:tc>
          <w:tcPr>
            <w:tcW w:w="217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仿宋_GB2312" w:cs="Times New Roman"/>
                <w:kern w:val="0"/>
                <w:sz w:val="20"/>
                <w:szCs w:val="20"/>
                <w:lang w:val="en-US" w:eastAsia="zh-CN" w:bidi="ar-SA"/>
              </w:rPr>
            </w:pPr>
            <w:r>
              <w:rPr>
                <w:rFonts w:hint="eastAsia" w:cs="Times New Roman"/>
                <w:kern w:val="0"/>
                <w:sz w:val="20"/>
                <w:szCs w:val="20"/>
              </w:rPr>
              <w:t>山洪灾害防治非工程措施设施维修养护</w:t>
            </w:r>
          </w:p>
        </w:tc>
        <w:tc>
          <w:tcPr>
            <w:tcW w:w="7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4</w:t>
            </w:r>
          </w:p>
        </w:tc>
        <w:tc>
          <w:tcPr>
            <w:tcW w:w="70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4</w:t>
            </w:r>
          </w:p>
        </w:tc>
        <w:tc>
          <w:tcPr>
            <w:tcW w:w="8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4</w:t>
            </w:r>
          </w:p>
        </w:tc>
        <w:tc>
          <w:tcPr>
            <w:tcW w:w="730" w:type="dxa"/>
            <w:tcBorders>
              <w:top w:val="single" w:color="auto" w:sz="4" w:space="0"/>
              <w:left w:val="nil"/>
              <w:bottom w:val="single" w:color="auto" w:sz="4" w:space="0"/>
              <w:right w:val="single" w:color="auto" w:sz="4" w:space="0"/>
            </w:tcBorders>
            <w:vAlign w:val="center"/>
          </w:tcPr>
          <w:p>
            <w:pPr>
              <w:spacing w:line="260" w:lineRule="exact"/>
              <w:ind w:firstLine="0" w:firstLineChars="0"/>
              <w:jc w:val="center"/>
              <w:rPr>
                <w:rFonts w:ascii="Times New Roman" w:hAnsi="Times New Roman" w:eastAsia="仿宋_GB2312" w:cs="Times New Roman"/>
                <w:kern w:val="0"/>
                <w:sz w:val="20"/>
                <w:szCs w:val="20"/>
                <w:lang w:val="en-US" w:eastAsia="zh-CN" w:bidi="ar-SA"/>
              </w:rPr>
            </w:pPr>
          </w:p>
        </w:tc>
        <w:tc>
          <w:tcPr>
            <w:tcW w:w="71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4</w:t>
            </w:r>
          </w:p>
        </w:tc>
        <w:tc>
          <w:tcPr>
            <w:tcW w:w="851"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4</w:t>
            </w:r>
          </w:p>
        </w:tc>
        <w:tc>
          <w:tcPr>
            <w:tcW w:w="848" w:type="dxa"/>
            <w:tcBorders>
              <w:top w:val="single" w:color="auto" w:sz="4" w:space="0"/>
              <w:left w:val="single" w:color="auto" w:sz="4" w:space="0"/>
              <w:bottom w:val="single" w:color="auto" w:sz="4" w:space="0"/>
              <w:right w:val="single" w:color="auto" w:sz="4" w:space="0"/>
            </w:tcBorders>
            <w:vAlign w:val="center"/>
          </w:tcPr>
          <w:p>
            <w:pPr>
              <w:spacing w:line="260" w:lineRule="exact"/>
              <w:ind w:firstLine="0" w:firstLineChars="0"/>
              <w:jc w:val="center"/>
              <w:rPr>
                <w:rFonts w:ascii="Times New Roman" w:hAnsi="Times New Roman" w:eastAsia="仿宋_GB2312" w:cs="Times New Roman"/>
                <w:kern w:val="0"/>
                <w:sz w:val="20"/>
                <w:szCs w:val="20"/>
                <w:lang w:val="en-US" w:eastAsia="zh-CN" w:bidi="ar-SA"/>
              </w:rPr>
            </w:pPr>
          </w:p>
        </w:tc>
        <w:tc>
          <w:tcPr>
            <w:tcW w:w="9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100%</w:t>
            </w:r>
          </w:p>
        </w:tc>
      </w:tr>
      <w:tr>
        <w:tblPrEx>
          <w:tblCellMar>
            <w:top w:w="0" w:type="dxa"/>
            <w:left w:w="51" w:type="dxa"/>
            <w:bottom w:w="0" w:type="dxa"/>
            <w:right w:w="51" w:type="dxa"/>
          </w:tblCellMar>
        </w:tblPrEx>
        <w:trPr>
          <w:trHeight w:val="50" w:hRule="atLeast"/>
        </w:trPr>
        <w:tc>
          <w:tcPr>
            <w:tcW w:w="217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仿宋_GB2312" w:cs="Times New Roman"/>
                <w:kern w:val="0"/>
                <w:sz w:val="20"/>
                <w:szCs w:val="20"/>
                <w:lang w:val="en-US" w:eastAsia="zh-CN" w:bidi="ar-SA"/>
              </w:rPr>
            </w:pPr>
            <w:r>
              <w:rPr>
                <w:rFonts w:hint="eastAsia" w:cs="Times New Roman"/>
                <w:kern w:val="0"/>
                <w:sz w:val="20"/>
                <w:szCs w:val="20"/>
              </w:rPr>
              <w:t>农业水价综合改革</w:t>
            </w:r>
          </w:p>
        </w:tc>
        <w:tc>
          <w:tcPr>
            <w:tcW w:w="7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21</w:t>
            </w:r>
          </w:p>
        </w:tc>
        <w:tc>
          <w:tcPr>
            <w:tcW w:w="70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21</w:t>
            </w:r>
          </w:p>
        </w:tc>
        <w:tc>
          <w:tcPr>
            <w:tcW w:w="8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21</w:t>
            </w:r>
          </w:p>
        </w:tc>
        <w:tc>
          <w:tcPr>
            <w:tcW w:w="730" w:type="dxa"/>
            <w:tcBorders>
              <w:top w:val="single" w:color="auto" w:sz="4" w:space="0"/>
              <w:left w:val="nil"/>
              <w:bottom w:val="single" w:color="auto" w:sz="4" w:space="0"/>
              <w:right w:val="single" w:color="auto" w:sz="4" w:space="0"/>
            </w:tcBorders>
            <w:vAlign w:val="center"/>
          </w:tcPr>
          <w:p>
            <w:pPr>
              <w:spacing w:line="260" w:lineRule="exact"/>
              <w:ind w:firstLine="0" w:firstLineChars="0"/>
              <w:jc w:val="center"/>
              <w:rPr>
                <w:rFonts w:ascii="Times New Roman" w:hAnsi="Times New Roman" w:eastAsia="仿宋_GB2312" w:cs="Times New Roman"/>
                <w:kern w:val="0"/>
                <w:sz w:val="20"/>
                <w:szCs w:val="20"/>
                <w:lang w:val="en-US" w:eastAsia="zh-CN" w:bidi="ar-SA"/>
              </w:rPr>
            </w:pPr>
          </w:p>
        </w:tc>
        <w:tc>
          <w:tcPr>
            <w:tcW w:w="71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21</w:t>
            </w:r>
          </w:p>
        </w:tc>
        <w:tc>
          <w:tcPr>
            <w:tcW w:w="851"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21</w:t>
            </w:r>
          </w:p>
        </w:tc>
        <w:tc>
          <w:tcPr>
            <w:tcW w:w="848" w:type="dxa"/>
            <w:tcBorders>
              <w:top w:val="single" w:color="auto" w:sz="4" w:space="0"/>
              <w:left w:val="single" w:color="auto" w:sz="4" w:space="0"/>
              <w:bottom w:val="single" w:color="auto" w:sz="4" w:space="0"/>
              <w:right w:val="single" w:color="auto" w:sz="4" w:space="0"/>
            </w:tcBorders>
            <w:vAlign w:val="center"/>
          </w:tcPr>
          <w:p>
            <w:pPr>
              <w:spacing w:line="260" w:lineRule="exact"/>
              <w:ind w:firstLine="0" w:firstLineChars="0"/>
              <w:jc w:val="center"/>
              <w:rPr>
                <w:rFonts w:ascii="Times New Roman" w:hAnsi="Times New Roman" w:eastAsia="仿宋_GB2312" w:cs="Times New Roman"/>
                <w:kern w:val="0"/>
                <w:sz w:val="20"/>
                <w:szCs w:val="20"/>
                <w:lang w:val="en-US" w:eastAsia="zh-CN" w:bidi="ar-SA"/>
              </w:rPr>
            </w:pPr>
          </w:p>
        </w:tc>
        <w:tc>
          <w:tcPr>
            <w:tcW w:w="9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仿宋_GB2312" w:cs="Times New Roman"/>
                <w:kern w:val="0"/>
                <w:sz w:val="20"/>
                <w:szCs w:val="20"/>
                <w:lang w:val="en-US" w:eastAsia="zh-CN" w:bidi="ar-SA"/>
              </w:rPr>
            </w:pPr>
            <w:r>
              <w:rPr>
                <w:rFonts w:hint="eastAsia" w:cs="Times New Roman"/>
                <w:kern w:val="0"/>
                <w:sz w:val="20"/>
                <w:szCs w:val="20"/>
                <w:lang w:val="en-US" w:eastAsia="zh-CN"/>
              </w:rPr>
              <w:t>100%</w:t>
            </w:r>
          </w:p>
        </w:tc>
      </w:tr>
    </w:tbl>
    <w:p>
      <w:pPr>
        <w:ind w:firstLine="0" w:firstLineChars="0"/>
        <w:rPr>
          <w:rFonts w:hint="eastAsia" w:ascii="仿宋" w:hAnsi="仿宋" w:eastAsia="仿宋" w:cs="仿宋"/>
          <w:color w:val="auto"/>
          <w:sz w:val="30"/>
          <w:szCs w:val="30"/>
          <w:lang w:val="en-US" w:eastAsia="zh-CN"/>
        </w:rPr>
      </w:pPr>
      <w:r>
        <w:rPr>
          <w:rFonts w:hint="eastAsia" w:ascii="仿宋_GB2312" w:cs="Times New Roman"/>
          <w:sz w:val="18"/>
          <w:szCs w:val="18"/>
        </w:rPr>
        <w:t>注：财政资金到位率=(中央+省级财政到位资金)/（中央+省级资金预算数）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2.资金执行情况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截至2019年12月底，年度中央财政水利发展资金2273万元、省级补助资金168.34万元、其它补助资金1.3万元，已全部实施完成，截止2020年6月底全部完成，完成率100%。</w:t>
      </w:r>
    </w:p>
    <w:p>
      <w:pPr>
        <w:widowControl w:val="0"/>
        <w:ind w:firstLine="0" w:firstLineChars="0"/>
        <w:jc w:val="center"/>
        <w:rPr>
          <w:rFonts w:hint="eastAsia" w:cs="Times New Roman"/>
          <w:color w:val="auto"/>
        </w:rPr>
      </w:pPr>
      <w:r>
        <w:rPr>
          <w:rFonts w:hint="eastAsia" w:cs="Times New Roman"/>
          <w:color w:val="auto"/>
        </w:rPr>
        <w:t>表</w:t>
      </w:r>
      <w:r>
        <w:rPr>
          <w:rFonts w:cs="Times New Roman"/>
          <w:color w:val="auto"/>
        </w:rPr>
        <w:t>3-2    201</w:t>
      </w:r>
      <w:r>
        <w:rPr>
          <w:rFonts w:hint="eastAsia" w:cs="Times New Roman"/>
          <w:color w:val="auto"/>
          <w:lang w:val="en-US" w:eastAsia="zh-CN"/>
        </w:rPr>
        <w:t>9</w:t>
      </w:r>
      <w:r>
        <w:rPr>
          <w:rFonts w:hint="eastAsia" w:cs="Times New Roman"/>
          <w:color w:val="auto"/>
        </w:rPr>
        <w:t>年度水利发展资金执行情况表（不含整合</w:t>
      </w:r>
      <w:r>
        <w:rPr>
          <w:rFonts w:cs="Times New Roman"/>
          <w:color w:val="auto"/>
        </w:rPr>
        <w:t>资金</w:t>
      </w:r>
      <w:r>
        <w:rPr>
          <w:rFonts w:hint="eastAsia" w:cs="Times New Roman"/>
          <w:color w:val="auto"/>
        </w:rPr>
        <w:t>）</w:t>
      </w:r>
    </w:p>
    <w:tbl>
      <w:tblPr>
        <w:tblStyle w:val="7"/>
        <w:tblpPr w:leftFromText="180" w:rightFromText="180" w:vertAnchor="text" w:horzAnchor="page" w:tblpX="2283" w:tblpY="148"/>
        <w:tblOverlap w:val="never"/>
        <w:tblW w:w="8408" w:type="dxa"/>
        <w:tblInd w:w="0" w:type="dxa"/>
        <w:tblLayout w:type="fixed"/>
        <w:tblCellMar>
          <w:top w:w="0" w:type="dxa"/>
          <w:left w:w="51" w:type="dxa"/>
          <w:bottom w:w="0" w:type="dxa"/>
          <w:right w:w="51" w:type="dxa"/>
        </w:tblCellMar>
      </w:tblPr>
      <w:tblGrid>
        <w:gridCol w:w="2481"/>
        <w:gridCol w:w="1339"/>
        <w:gridCol w:w="1147"/>
        <w:gridCol w:w="1149"/>
        <w:gridCol w:w="1147"/>
        <w:gridCol w:w="1145"/>
      </w:tblGrid>
      <w:tr>
        <w:tblPrEx>
          <w:tblCellMar>
            <w:top w:w="0" w:type="dxa"/>
            <w:left w:w="51" w:type="dxa"/>
            <w:bottom w:w="0" w:type="dxa"/>
            <w:right w:w="51" w:type="dxa"/>
          </w:tblCellMar>
        </w:tblPrEx>
        <w:trPr>
          <w:trHeight w:val="381" w:hRule="atLeast"/>
          <w:tblHeader/>
        </w:trPr>
        <w:tc>
          <w:tcPr>
            <w:tcW w:w="248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rPr>
              <w:t>分类</w:t>
            </w:r>
          </w:p>
        </w:tc>
        <w:tc>
          <w:tcPr>
            <w:tcW w:w="133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rPr>
              <w:t>投资</w:t>
            </w:r>
          </w:p>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rPr>
              <w:t>（万元）</w:t>
            </w:r>
          </w:p>
        </w:tc>
        <w:tc>
          <w:tcPr>
            <w:tcW w:w="2296"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rPr>
              <w:t>完成投资</w:t>
            </w:r>
          </w:p>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rPr>
              <w:t>（万元）</w:t>
            </w:r>
          </w:p>
        </w:tc>
        <w:tc>
          <w:tcPr>
            <w:tcW w:w="2292"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rPr>
              <w:t>投资完成率</w:t>
            </w:r>
          </w:p>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rPr>
              <w:t>（%）</w:t>
            </w:r>
          </w:p>
        </w:tc>
      </w:tr>
      <w:tr>
        <w:tblPrEx>
          <w:tblCellMar>
            <w:top w:w="0" w:type="dxa"/>
            <w:left w:w="51" w:type="dxa"/>
            <w:bottom w:w="0" w:type="dxa"/>
            <w:right w:w="51" w:type="dxa"/>
          </w:tblCellMar>
        </w:tblPrEx>
        <w:trPr>
          <w:trHeight w:val="312" w:hRule="atLeast"/>
          <w:tblHeader/>
        </w:trPr>
        <w:tc>
          <w:tcPr>
            <w:tcW w:w="2481" w:type="dxa"/>
            <w:vMerge w:val="continue"/>
            <w:tcBorders>
              <w:top w:val="single" w:color="auto" w:sz="4" w:space="0"/>
              <w:left w:val="single" w:color="auto" w:sz="4" w:space="0"/>
              <w:bottom w:val="single" w:color="auto" w:sz="4" w:space="0"/>
              <w:right w:val="single" w:color="auto" w:sz="4" w:space="0"/>
            </w:tcBorders>
            <w:vAlign w:val="center"/>
          </w:tcPr>
          <w:p>
            <w:pPr>
              <w:widowControl w:val="0"/>
              <w:spacing w:line="260" w:lineRule="exact"/>
              <w:ind w:firstLine="0" w:firstLineChars="0"/>
              <w:jc w:val="center"/>
              <w:rPr>
                <w:rFonts w:ascii="仿宋_GB2312" w:cs="Times New Roman"/>
                <w:color w:val="auto"/>
                <w:kern w:val="0"/>
                <w:sz w:val="20"/>
                <w:szCs w:val="20"/>
              </w:rPr>
            </w:pPr>
          </w:p>
        </w:tc>
        <w:tc>
          <w:tcPr>
            <w:tcW w:w="1339" w:type="dxa"/>
            <w:vMerge w:val="continue"/>
            <w:tcBorders>
              <w:top w:val="single" w:color="auto" w:sz="4" w:space="0"/>
              <w:left w:val="single" w:color="auto" w:sz="4" w:space="0"/>
              <w:bottom w:val="single" w:color="auto" w:sz="4" w:space="0"/>
              <w:right w:val="single" w:color="auto" w:sz="4" w:space="0"/>
            </w:tcBorders>
            <w:vAlign w:val="center"/>
          </w:tcPr>
          <w:p>
            <w:pPr>
              <w:widowControl w:val="0"/>
              <w:spacing w:line="260" w:lineRule="exact"/>
              <w:ind w:firstLine="0" w:firstLineChars="0"/>
              <w:jc w:val="center"/>
              <w:rPr>
                <w:rFonts w:ascii="仿宋_GB2312" w:cs="Times New Roman"/>
                <w:color w:val="auto"/>
                <w:kern w:val="0"/>
                <w:sz w:val="20"/>
                <w:szCs w:val="20"/>
              </w:rPr>
            </w:pPr>
          </w:p>
        </w:tc>
        <w:tc>
          <w:tcPr>
            <w:tcW w:w="229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val="0"/>
              <w:spacing w:line="260" w:lineRule="exact"/>
              <w:ind w:firstLine="0" w:firstLineChars="0"/>
              <w:jc w:val="center"/>
              <w:rPr>
                <w:rFonts w:ascii="仿宋_GB2312" w:cs="Times New Roman"/>
                <w:color w:val="auto"/>
                <w:kern w:val="0"/>
                <w:sz w:val="20"/>
                <w:szCs w:val="20"/>
              </w:rPr>
            </w:pPr>
          </w:p>
        </w:tc>
        <w:tc>
          <w:tcPr>
            <w:tcW w:w="229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val="0"/>
              <w:spacing w:line="260" w:lineRule="exact"/>
              <w:ind w:firstLine="0" w:firstLineChars="0"/>
              <w:jc w:val="center"/>
              <w:rPr>
                <w:rFonts w:ascii="仿宋_GB2312" w:cs="Times New Roman"/>
                <w:color w:val="auto"/>
                <w:kern w:val="0"/>
                <w:sz w:val="20"/>
                <w:szCs w:val="20"/>
              </w:rPr>
            </w:pPr>
          </w:p>
        </w:tc>
      </w:tr>
      <w:tr>
        <w:tblPrEx>
          <w:tblCellMar>
            <w:top w:w="0" w:type="dxa"/>
            <w:left w:w="51" w:type="dxa"/>
            <w:bottom w:w="0" w:type="dxa"/>
            <w:right w:w="51" w:type="dxa"/>
          </w:tblCellMar>
        </w:tblPrEx>
        <w:trPr>
          <w:trHeight w:val="20" w:hRule="atLeast"/>
          <w:tblHeader/>
        </w:trPr>
        <w:tc>
          <w:tcPr>
            <w:tcW w:w="2481" w:type="dxa"/>
            <w:vMerge w:val="continue"/>
            <w:tcBorders>
              <w:top w:val="single" w:color="auto" w:sz="4" w:space="0"/>
              <w:left w:val="single" w:color="auto" w:sz="4" w:space="0"/>
              <w:bottom w:val="single" w:color="auto" w:sz="4" w:space="0"/>
              <w:right w:val="single" w:color="auto" w:sz="4" w:space="0"/>
            </w:tcBorders>
            <w:vAlign w:val="center"/>
          </w:tcPr>
          <w:p>
            <w:pPr>
              <w:widowControl w:val="0"/>
              <w:spacing w:line="260" w:lineRule="exact"/>
              <w:ind w:firstLine="0" w:firstLineChars="0"/>
              <w:jc w:val="center"/>
              <w:rPr>
                <w:rFonts w:ascii="仿宋_GB2312" w:cs="Times New Roman"/>
                <w:color w:val="auto"/>
                <w:kern w:val="0"/>
                <w:sz w:val="20"/>
                <w:szCs w:val="20"/>
              </w:rPr>
            </w:pPr>
          </w:p>
        </w:tc>
        <w:tc>
          <w:tcPr>
            <w:tcW w:w="1339" w:type="dxa"/>
            <w:vMerge w:val="continue"/>
            <w:tcBorders>
              <w:top w:val="single" w:color="auto" w:sz="4" w:space="0"/>
              <w:left w:val="single" w:color="auto" w:sz="4" w:space="0"/>
              <w:bottom w:val="single" w:color="auto" w:sz="4" w:space="0"/>
              <w:right w:val="single" w:color="auto" w:sz="4" w:space="0"/>
            </w:tcBorders>
            <w:vAlign w:val="center"/>
          </w:tcPr>
          <w:p>
            <w:pPr>
              <w:widowControl w:val="0"/>
              <w:spacing w:line="260" w:lineRule="exact"/>
              <w:ind w:firstLine="0" w:firstLineChars="0"/>
              <w:jc w:val="center"/>
              <w:rPr>
                <w:rFonts w:ascii="仿宋_GB2312" w:cs="Times New Roman"/>
                <w:color w:val="auto"/>
                <w:kern w:val="0"/>
                <w:sz w:val="20"/>
                <w:szCs w:val="20"/>
              </w:rPr>
            </w:pPr>
          </w:p>
        </w:tc>
        <w:tc>
          <w:tcPr>
            <w:tcW w:w="1147" w:type="dxa"/>
            <w:tcBorders>
              <w:top w:val="nil"/>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rPr>
              <w:t>截至201</w:t>
            </w:r>
            <w:r>
              <w:rPr>
                <w:rFonts w:hint="eastAsia" w:ascii="仿宋_GB2312" w:cs="Times New Roman"/>
                <w:color w:val="auto"/>
                <w:kern w:val="0"/>
                <w:sz w:val="20"/>
                <w:szCs w:val="20"/>
                <w:lang w:val="en-US" w:eastAsia="zh-CN"/>
              </w:rPr>
              <w:t>9</w:t>
            </w:r>
            <w:r>
              <w:rPr>
                <w:rFonts w:hint="eastAsia" w:ascii="仿宋_GB2312" w:cs="Times New Roman"/>
                <w:color w:val="auto"/>
                <w:kern w:val="0"/>
                <w:sz w:val="20"/>
                <w:szCs w:val="20"/>
              </w:rPr>
              <w:t>年12月底</w:t>
            </w:r>
          </w:p>
        </w:tc>
        <w:tc>
          <w:tcPr>
            <w:tcW w:w="1149" w:type="dxa"/>
            <w:tcBorders>
              <w:top w:val="nil"/>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rPr>
              <w:t>截至20</w:t>
            </w:r>
            <w:r>
              <w:rPr>
                <w:rFonts w:hint="eastAsia" w:ascii="仿宋_GB2312" w:cs="Times New Roman"/>
                <w:color w:val="auto"/>
                <w:kern w:val="0"/>
                <w:sz w:val="20"/>
                <w:szCs w:val="20"/>
                <w:lang w:val="en-US" w:eastAsia="zh-CN"/>
              </w:rPr>
              <w:t>20</w:t>
            </w:r>
            <w:r>
              <w:rPr>
                <w:rFonts w:hint="eastAsia" w:ascii="仿宋_GB2312" w:cs="Times New Roman"/>
                <w:color w:val="auto"/>
                <w:kern w:val="0"/>
                <w:sz w:val="20"/>
                <w:szCs w:val="20"/>
              </w:rPr>
              <w:t>年6月底</w:t>
            </w:r>
          </w:p>
        </w:tc>
        <w:tc>
          <w:tcPr>
            <w:tcW w:w="1147" w:type="dxa"/>
            <w:tcBorders>
              <w:top w:val="nil"/>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rPr>
              <w:t>截至20</w:t>
            </w:r>
            <w:r>
              <w:rPr>
                <w:rFonts w:hint="eastAsia" w:ascii="仿宋_GB2312" w:cs="Times New Roman"/>
                <w:color w:val="auto"/>
                <w:kern w:val="0"/>
                <w:sz w:val="20"/>
                <w:szCs w:val="20"/>
                <w:lang w:val="en-US" w:eastAsia="zh-CN"/>
              </w:rPr>
              <w:t>19</w:t>
            </w:r>
            <w:r>
              <w:rPr>
                <w:rFonts w:hint="eastAsia" w:ascii="仿宋_GB2312" w:cs="Times New Roman"/>
                <w:color w:val="auto"/>
                <w:kern w:val="0"/>
                <w:sz w:val="20"/>
                <w:szCs w:val="20"/>
              </w:rPr>
              <w:t>年12月底</w:t>
            </w:r>
          </w:p>
        </w:tc>
        <w:tc>
          <w:tcPr>
            <w:tcW w:w="1145" w:type="dxa"/>
            <w:tcBorders>
              <w:top w:val="nil"/>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rPr>
              <w:t>截至20</w:t>
            </w:r>
            <w:r>
              <w:rPr>
                <w:rFonts w:hint="eastAsia" w:ascii="仿宋_GB2312" w:cs="Times New Roman"/>
                <w:color w:val="auto"/>
                <w:kern w:val="0"/>
                <w:sz w:val="20"/>
                <w:szCs w:val="20"/>
                <w:lang w:val="en-US" w:eastAsia="zh-CN"/>
              </w:rPr>
              <w:t>20</w:t>
            </w:r>
            <w:r>
              <w:rPr>
                <w:rFonts w:hint="eastAsia" w:ascii="仿宋_GB2312" w:cs="Times New Roman"/>
                <w:color w:val="auto"/>
                <w:kern w:val="0"/>
                <w:sz w:val="20"/>
                <w:szCs w:val="20"/>
              </w:rPr>
              <w:t>年6月底</w:t>
            </w:r>
          </w:p>
        </w:tc>
      </w:tr>
      <w:tr>
        <w:tblPrEx>
          <w:tblCellMar>
            <w:top w:w="0" w:type="dxa"/>
            <w:left w:w="51" w:type="dxa"/>
            <w:bottom w:w="0" w:type="dxa"/>
            <w:right w:w="51" w:type="dxa"/>
          </w:tblCellMar>
        </w:tblPrEx>
        <w:trPr>
          <w:trHeight w:val="235" w:hRule="atLeast"/>
        </w:trPr>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ascii="Times New Roman" w:hAnsi="Times New Roman" w:eastAsia="仿宋_GB2312" w:cs="Times New Roman"/>
                <w:kern w:val="0"/>
                <w:sz w:val="20"/>
                <w:szCs w:val="20"/>
                <w:lang w:val="en-US" w:eastAsia="zh-CN" w:bidi="ar-SA"/>
              </w:rPr>
            </w:pPr>
            <w:r>
              <w:rPr>
                <w:rFonts w:hint="eastAsia" w:cs="Times New Roman"/>
                <w:kern w:val="0"/>
                <w:sz w:val="20"/>
                <w:szCs w:val="20"/>
              </w:rPr>
              <w:t>重点中型灌区节水配套改造</w:t>
            </w:r>
          </w:p>
        </w:tc>
        <w:tc>
          <w:tcPr>
            <w:tcW w:w="1339"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仿宋_GB2312" w:cs="Times New Roman"/>
                <w:color w:val="auto"/>
                <w:kern w:val="0"/>
                <w:sz w:val="20"/>
                <w:szCs w:val="20"/>
                <w:lang w:val="en-US"/>
              </w:rPr>
            </w:pPr>
            <w:r>
              <w:rPr>
                <w:rFonts w:hint="eastAsia" w:cs="Times New Roman"/>
                <w:color w:val="000000"/>
                <w:kern w:val="0"/>
                <w:sz w:val="20"/>
                <w:szCs w:val="20"/>
                <w:lang w:val="en-US" w:eastAsia="zh-CN"/>
              </w:rPr>
              <w:t>1840</w:t>
            </w:r>
          </w:p>
        </w:tc>
        <w:tc>
          <w:tcPr>
            <w:tcW w:w="1147"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仿宋_GB2312" w:cs="Times New Roman"/>
                <w:color w:val="auto"/>
                <w:kern w:val="0"/>
                <w:sz w:val="20"/>
                <w:szCs w:val="20"/>
                <w:lang w:val="en-US"/>
              </w:rPr>
            </w:pPr>
            <w:r>
              <w:rPr>
                <w:rFonts w:hint="eastAsia" w:cs="Times New Roman"/>
                <w:color w:val="000000"/>
                <w:kern w:val="0"/>
                <w:sz w:val="20"/>
                <w:szCs w:val="20"/>
                <w:lang w:val="en-US" w:eastAsia="zh-CN"/>
              </w:rPr>
              <w:t>1840</w:t>
            </w:r>
          </w:p>
        </w:tc>
        <w:tc>
          <w:tcPr>
            <w:tcW w:w="1149"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仿宋_GB2312" w:cs="Times New Roman"/>
                <w:color w:val="auto"/>
                <w:kern w:val="0"/>
                <w:sz w:val="20"/>
                <w:szCs w:val="20"/>
                <w:lang w:val="en-US"/>
              </w:rPr>
            </w:pPr>
            <w:r>
              <w:rPr>
                <w:rFonts w:hint="eastAsia" w:cs="Times New Roman"/>
                <w:color w:val="000000"/>
                <w:kern w:val="0"/>
                <w:sz w:val="20"/>
                <w:szCs w:val="20"/>
                <w:lang w:val="en-US" w:eastAsia="zh-CN"/>
              </w:rPr>
              <w:t>1840</w:t>
            </w:r>
          </w:p>
        </w:tc>
        <w:tc>
          <w:tcPr>
            <w:tcW w:w="1147"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hint="default" w:ascii="仿宋_GB2312" w:eastAsia="仿宋_GB2312" w:cs="Times New Roman"/>
                <w:color w:val="auto"/>
                <w:kern w:val="0"/>
                <w:sz w:val="20"/>
                <w:szCs w:val="20"/>
                <w:lang w:val="en-US" w:eastAsia="zh-CN"/>
              </w:rPr>
            </w:pPr>
            <w:r>
              <w:rPr>
                <w:rFonts w:hint="eastAsia" w:ascii="仿宋_GB2312" w:cs="Times New Roman"/>
                <w:color w:val="auto"/>
                <w:kern w:val="0"/>
                <w:sz w:val="20"/>
                <w:szCs w:val="20"/>
                <w:lang w:val="en-US" w:eastAsia="zh-CN"/>
              </w:rPr>
              <w:t>100%</w:t>
            </w:r>
          </w:p>
        </w:tc>
        <w:tc>
          <w:tcPr>
            <w:tcW w:w="1145"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lang w:val="en-US" w:eastAsia="zh-CN"/>
              </w:rPr>
              <w:t>100%</w:t>
            </w:r>
          </w:p>
        </w:tc>
      </w:tr>
      <w:tr>
        <w:tblPrEx>
          <w:tblCellMar>
            <w:top w:w="0" w:type="dxa"/>
            <w:left w:w="51" w:type="dxa"/>
            <w:bottom w:w="0" w:type="dxa"/>
            <w:right w:w="51" w:type="dxa"/>
          </w:tblCellMar>
        </w:tblPrEx>
        <w:trPr>
          <w:trHeight w:val="20" w:hRule="atLeast"/>
        </w:trPr>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ascii="Times New Roman" w:hAnsi="Times New Roman" w:eastAsia="仿宋_GB2312" w:cs="Times New Roman"/>
                <w:kern w:val="0"/>
                <w:sz w:val="20"/>
                <w:szCs w:val="20"/>
                <w:lang w:val="en-US" w:eastAsia="zh-CN" w:bidi="ar-SA"/>
              </w:rPr>
            </w:pPr>
            <w:r>
              <w:rPr>
                <w:rFonts w:hint="eastAsia" w:cs="Times New Roman"/>
                <w:kern w:val="0"/>
                <w:sz w:val="20"/>
                <w:szCs w:val="20"/>
              </w:rPr>
              <w:t>水土流失综合治理</w:t>
            </w:r>
          </w:p>
        </w:tc>
        <w:tc>
          <w:tcPr>
            <w:tcW w:w="1339"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ascii="仿宋_GB2312" w:cs="Times New Roman"/>
                <w:color w:val="auto"/>
                <w:kern w:val="0"/>
                <w:sz w:val="20"/>
                <w:szCs w:val="20"/>
              </w:rPr>
            </w:pPr>
            <w:r>
              <w:rPr>
                <w:rFonts w:hint="eastAsia" w:cs="Times New Roman"/>
                <w:color w:val="000000"/>
                <w:kern w:val="0"/>
                <w:sz w:val="20"/>
                <w:szCs w:val="20"/>
                <w:lang w:val="en-US" w:eastAsia="zh-CN"/>
              </w:rPr>
              <w:t>450</w:t>
            </w:r>
          </w:p>
        </w:tc>
        <w:tc>
          <w:tcPr>
            <w:tcW w:w="1147"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ascii="仿宋_GB2312" w:cs="Times New Roman"/>
                <w:color w:val="auto"/>
                <w:kern w:val="0"/>
                <w:sz w:val="20"/>
                <w:szCs w:val="20"/>
              </w:rPr>
            </w:pPr>
            <w:r>
              <w:rPr>
                <w:rFonts w:hint="eastAsia" w:cs="Times New Roman"/>
                <w:color w:val="000000"/>
                <w:kern w:val="0"/>
                <w:sz w:val="20"/>
                <w:szCs w:val="20"/>
                <w:lang w:val="en-US" w:eastAsia="zh-CN"/>
              </w:rPr>
              <w:t>450</w:t>
            </w:r>
          </w:p>
        </w:tc>
        <w:tc>
          <w:tcPr>
            <w:tcW w:w="1149"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ascii="仿宋_GB2312" w:cs="Times New Roman"/>
                <w:color w:val="auto"/>
                <w:kern w:val="0"/>
                <w:sz w:val="20"/>
                <w:szCs w:val="20"/>
              </w:rPr>
            </w:pPr>
            <w:r>
              <w:rPr>
                <w:rFonts w:hint="eastAsia" w:cs="Times New Roman"/>
                <w:color w:val="000000"/>
                <w:kern w:val="0"/>
                <w:sz w:val="20"/>
                <w:szCs w:val="20"/>
                <w:lang w:val="en-US" w:eastAsia="zh-CN"/>
              </w:rPr>
              <w:t>450</w:t>
            </w:r>
          </w:p>
        </w:tc>
        <w:tc>
          <w:tcPr>
            <w:tcW w:w="1147"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lang w:val="en-US" w:eastAsia="zh-CN"/>
              </w:rPr>
              <w:t>100%</w:t>
            </w:r>
          </w:p>
        </w:tc>
        <w:tc>
          <w:tcPr>
            <w:tcW w:w="1145"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cs="Times New Roman"/>
                <w:color w:val="auto"/>
                <w:kern w:val="0"/>
                <w:sz w:val="20"/>
                <w:szCs w:val="20"/>
              </w:rPr>
            </w:pPr>
            <w:r>
              <w:rPr>
                <w:rFonts w:hint="eastAsia" w:ascii="仿宋_GB2312" w:cs="Times New Roman"/>
                <w:color w:val="auto"/>
                <w:kern w:val="0"/>
                <w:sz w:val="20"/>
                <w:szCs w:val="20"/>
                <w:lang w:val="en-US" w:eastAsia="zh-CN"/>
              </w:rPr>
              <w:t>100%</w:t>
            </w:r>
          </w:p>
        </w:tc>
      </w:tr>
      <w:tr>
        <w:tblPrEx>
          <w:tblCellMar>
            <w:top w:w="0" w:type="dxa"/>
            <w:left w:w="51" w:type="dxa"/>
            <w:bottom w:w="0" w:type="dxa"/>
            <w:right w:w="51" w:type="dxa"/>
          </w:tblCellMar>
        </w:tblPrEx>
        <w:trPr>
          <w:trHeight w:val="20" w:hRule="atLeast"/>
        </w:trPr>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ascii="Times New Roman" w:hAnsi="Times New Roman" w:eastAsia="仿宋_GB2312" w:cs="Times New Roman"/>
                <w:kern w:val="0"/>
                <w:sz w:val="20"/>
                <w:szCs w:val="20"/>
                <w:lang w:val="en-US" w:eastAsia="zh-CN" w:bidi="ar-SA"/>
              </w:rPr>
            </w:pPr>
            <w:r>
              <w:rPr>
                <w:rFonts w:hint="eastAsia" w:cs="Times New Roman"/>
                <w:kern w:val="0"/>
                <w:sz w:val="20"/>
                <w:szCs w:val="20"/>
              </w:rPr>
              <w:t>最严格水资源管理制度考核</w:t>
            </w:r>
          </w:p>
        </w:tc>
        <w:tc>
          <w:tcPr>
            <w:tcW w:w="1339"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仿宋_GB2312" w:eastAsia="仿宋_GB2312" w:cs="Times New Roman"/>
                <w:color w:val="auto"/>
                <w:kern w:val="0"/>
                <w:sz w:val="20"/>
                <w:szCs w:val="20"/>
                <w:highlight w:val="none"/>
                <w:lang w:val="en-US" w:eastAsia="zh-CN"/>
              </w:rPr>
            </w:pPr>
            <w:r>
              <w:rPr>
                <w:rFonts w:hint="eastAsia" w:ascii="仿宋_GB2312" w:cs="Times New Roman"/>
                <w:color w:val="auto"/>
                <w:kern w:val="0"/>
                <w:sz w:val="20"/>
                <w:szCs w:val="20"/>
                <w:highlight w:val="none"/>
                <w:lang w:val="en-US" w:eastAsia="zh-CN"/>
              </w:rPr>
              <w:t>20</w:t>
            </w:r>
          </w:p>
        </w:tc>
        <w:tc>
          <w:tcPr>
            <w:tcW w:w="1147"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仿宋_GB2312" w:eastAsia="仿宋_GB2312" w:cs="Times New Roman"/>
                <w:color w:val="auto"/>
                <w:kern w:val="0"/>
                <w:sz w:val="20"/>
                <w:szCs w:val="20"/>
                <w:highlight w:val="none"/>
                <w:lang w:val="en-US" w:eastAsia="zh-CN"/>
              </w:rPr>
            </w:pPr>
            <w:r>
              <w:rPr>
                <w:rFonts w:hint="eastAsia" w:ascii="仿宋_GB2312" w:cs="Times New Roman"/>
                <w:color w:val="auto"/>
                <w:kern w:val="0"/>
                <w:sz w:val="20"/>
                <w:szCs w:val="20"/>
                <w:highlight w:val="none"/>
                <w:lang w:val="en-US" w:eastAsia="zh-CN"/>
              </w:rPr>
              <w:t>20</w:t>
            </w:r>
          </w:p>
        </w:tc>
        <w:tc>
          <w:tcPr>
            <w:tcW w:w="1149"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仿宋_GB2312" w:eastAsia="仿宋_GB2312" w:cs="Times New Roman"/>
                <w:color w:val="auto"/>
                <w:kern w:val="0"/>
                <w:sz w:val="20"/>
                <w:szCs w:val="20"/>
                <w:highlight w:val="none"/>
                <w:lang w:val="en-US" w:eastAsia="zh-CN"/>
              </w:rPr>
            </w:pPr>
            <w:r>
              <w:rPr>
                <w:rFonts w:hint="eastAsia" w:ascii="仿宋_GB2312" w:cs="Times New Roman"/>
                <w:color w:val="auto"/>
                <w:kern w:val="0"/>
                <w:sz w:val="20"/>
                <w:szCs w:val="20"/>
                <w:highlight w:val="none"/>
                <w:lang w:val="en-US" w:eastAsia="zh-CN"/>
              </w:rPr>
              <w:t>20</w:t>
            </w:r>
          </w:p>
        </w:tc>
        <w:tc>
          <w:tcPr>
            <w:tcW w:w="1147"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hAnsi="Times New Roman" w:eastAsia="仿宋_GB2312" w:cs="Times New Roman"/>
                <w:color w:val="auto"/>
                <w:kern w:val="0"/>
                <w:sz w:val="20"/>
                <w:szCs w:val="20"/>
                <w:lang w:val="en-US" w:eastAsia="zh-CN" w:bidi="ar-SA"/>
              </w:rPr>
            </w:pPr>
            <w:r>
              <w:rPr>
                <w:rFonts w:hint="eastAsia" w:ascii="仿宋_GB2312" w:cs="Times New Roman"/>
                <w:color w:val="auto"/>
                <w:kern w:val="0"/>
                <w:sz w:val="20"/>
                <w:szCs w:val="20"/>
                <w:lang w:val="en-US" w:eastAsia="zh-CN"/>
              </w:rPr>
              <w:t>100%</w:t>
            </w:r>
          </w:p>
        </w:tc>
        <w:tc>
          <w:tcPr>
            <w:tcW w:w="1145"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hAnsi="Times New Roman" w:eastAsia="仿宋_GB2312" w:cs="Times New Roman"/>
                <w:color w:val="auto"/>
                <w:kern w:val="0"/>
                <w:sz w:val="20"/>
                <w:szCs w:val="20"/>
                <w:lang w:val="en-US" w:eastAsia="zh-CN" w:bidi="ar-SA"/>
              </w:rPr>
            </w:pPr>
            <w:r>
              <w:rPr>
                <w:rFonts w:hint="eastAsia" w:ascii="仿宋_GB2312" w:cs="Times New Roman"/>
                <w:color w:val="auto"/>
                <w:kern w:val="0"/>
                <w:sz w:val="20"/>
                <w:szCs w:val="20"/>
                <w:lang w:val="en-US" w:eastAsia="zh-CN"/>
              </w:rPr>
              <w:t>100%</w:t>
            </w:r>
          </w:p>
        </w:tc>
      </w:tr>
      <w:tr>
        <w:tblPrEx>
          <w:tblCellMar>
            <w:top w:w="0" w:type="dxa"/>
            <w:left w:w="51" w:type="dxa"/>
            <w:bottom w:w="0" w:type="dxa"/>
            <w:right w:w="51" w:type="dxa"/>
          </w:tblCellMar>
        </w:tblPrEx>
        <w:trPr>
          <w:trHeight w:val="20" w:hRule="atLeast"/>
        </w:trPr>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仿宋_GB2312" w:cs="Times New Roman"/>
                <w:kern w:val="0"/>
                <w:sz w:val="20"/>
                <w:szCs w:val="20"/>
                <w:lang w:val="en-US" w:eastAsia="zh-CN" w:bidi="ar-SA"/>
              </w:rPr>
            </w:pPr>
            <w:r>
              <w:rPr>
                <w:rFonts w:hint="eastAsia" w:cs="Times New Roman"/>
                <w:kern w:val="0"/>
                <w:sz w:val="20"/>
                <w:szCs w:val="20"/>
              </w:rPr>
              <w:t>山洪灾害防治非工程措施</w:t>
            </w:r>
          </w:p>
        </w:tc>
        <w:tc>
          <w:tcPr>
            <w:tcW w:w="1339"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仿宋_GB2312" w:eastAsia="仿宋_GB2312" w:cs="Times New Roman"/>
                <w:color w:val="auto"/>
                <w:kern w:val="0"/>
                <w:sz w:val="20"/>
                <w:szCs w:val="20"/>
                <w:highlight w:val="none"/>
                <w:lang w:val="en-US" w:eastAsia="zh-CN"/>
              </w:rPr>
            </w:pPr>
            <w:r>
              <w:rPr>
                <w:rFonts w:hint="eastAsia" w:ascii="仿宋_GB2312" w:cs="Times New Roman"/>
                <w:color w:val="auto"/>
                <w:kern w:val="0"/>
                <w:sz w:val="20"/>
                <w:szCs w:val="20"/>
                <w:highlight w:val="none"/>
                <w:lang w:val="en-US" w:eastAsia="zh-CN"/>
              </w:rPr>
              <w:t>10</w:t>
            </w:r>
          </w:p>
        </w:tc>
        <w:tc>
          <w:tcPr>
            <w:tcW w:w="1147"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仿宋_GB2312" w:eastAsia="仿宋_GB2312" w:cs="Times New Roman"/>
                <w:color w:val="auto"/>
                <w:kern w:val="0"/>
                <w:sz w:val="20"/>
                <w:szCs w:val="20"/>
                <w:highlight w:val="none"/>
                <w:lang w:val="en-US" w:eastAsia="zh-CN"/>
              </w:rPr>
            </w:pPr>
            <w:r>
              <w:rPr>
                <w:rFonts w:hint="eastAsia" w:ascii="仿宋_GB2312" w:cs="Times New Roman"/>
                <w:color w:val="auto"/>
                <w:kern w:val="0"/>
                <w:sz w:val="20"/>
                <w:szCs w:val="20"/>
                <w:highlight w:val="none"/>
                <w:lang w:val="en-US" w:eastAsia="zh-CN"/>
              </w:rPr>
              <w:t>10</w:t>
            </w:r>
          </w:p>
        </w:tc>
        <w:tc>
          <w:tcPr>
            <w:tcW w:w="1149"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仿宋_GB2312" w:eastAsia="仿宋_GB2312" w:cs="Times New Roman"/>
                <w:color w:val="auto"/>
                <w:kern w:val="0"/>
                <w:sz w:val="20"/>
                <w:szCs w:val="20"/>
                <w:highlight w:val="none"/>
                <w:lang w:val="en-US" w:eastAsia="zh-CN"/>
              </w:rPr>
            </w:pPr>
            <w:r>
              <w:rPr>
                <w:rFonts w:hint="eastAsia" w:ascii="仿宋_GB2312" w:cs="Times New Roman"/>
                <w:color w:val="auto"/>
                <w:kern w:val="0"/>
                <w:sz w:val="20"/>
                <w:szCs w:val="20"/>
                <w:highlight w:val="none"/>
                <w:lang w:val="en-US" w:eastAsia="zh-CN"/>
              </w:rPr>
              <w:t>10</w:t>
            </w:r>
          </w:p>
        </w:tc>
        <w:tc>
          <w:tcPr>
            <w:tcW w:w="1147"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hAnsi="Times New Roman" w:eastAsia="仿宋_GB2312" w:cs="Times New Roman"/>
                <w:color w:val="auto"/>
                <w:kern w:val="0"/>
                <w:sz w:val="20"/>
                <w:szCs w:val="20"/>
                <w:lang w:val="en-US" w:eastAsia="zh-CN" w:bidi="ar-SA"/>
              </w:rPr>
            </w:pPr>
            <w:r>
              <w:rPr>
                <w:rFonts w:hint="eastAsia" w:ascii="仿宋_GB2312" w:cs="Times New Roman"/>
                <w:color w:val="auto"/>
                <w:kern w:val="0"/>
                <w:sz w:val="20"/>
                <w:szCs w:val="20"/>
                <w:lang w:val="en-US" w:eastAsia="zh-CN"/>
              </w:rPr>
              <w:t>100%</w:t>
            </w:r>
          </w:p>
        </w:tc>
        <w:tc>
          <w:tcPr>
            <w:tcW w:w="1145"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hAnsi="Times New Roman" w:eastAsia="仿宋_GB2312" w:cs="Times New Roman"/>
                <w:color w:val="auto"/>
                <w:kern w:val="0"/>
                <w:sz w:val="20"/>
                <w:szCs w:val="20"/>
                <w:lang w:val="en-US" w:eastAsia="zh-CN" w:bidi="ar-SA"/>
              </w:rPr>
            </w:pPr>
            <w:r>
              <w:rPr>
                <w:rFonts w:hint="eastAsia" w:ascii="仿宋_GB2312" w:cs="Times New Roman"/>
                <w:color w:val="auto"/>
                <w:kern w:val="0"/>
                <w:sz w:val="20"/>
                <w:szCs w:val="20"/>
                <w:lang w:val="en-US" w:eastAsia="zh-CN"/>
              </w:rPr>
              <w:t>100%</w:t>
            </w:r>
          </w:p>
        </w:tc>
      </w:tr>
      <w:tr>
        <w:tblPrEx>
          <w:tblCellMar>
            <w:top w:w="0" w:type="dxa"/>
            <w:left w:w="51" w:type="dxa"/>
            <w:bottom w:w="0" w:type="dxa"/>
            <w:right w:w="51" w:type="dxa"/>
          </w:tblCellMar>
        </w:tblPrEx>
        <w:trPr>
          <w:trHeight w:val="20" w:hRule="atLeast"/>
        </w:trPr>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仿宋_GB2312" w:cs="Times New Roman"/>
                <w:kern w:val="0"/>
                <w:sz w:val="20"/>
                <w:szCs w:val="20"/>
                <w:lang w:val="en-US" w:eastAsia="zh-CN" w:bidi="ar-SA"/>
              </w:rPr>
            </w:pPr>
            <w:r>
              <w:rPr>
                <w:rFonts w:hint="eastAsia" w:cs="Times New Roman"/>
                <w:kern w:val="0"/>
                <w:sz w:val="20"/>
                <w:szCs w:val="20"/>
              </w:rPr>
              <w:t>农村饮水工程维修养护</w:t>
            </w:r>
          </w:p>
        </w:tc>
        <w:tc>
          <w:tcPr>
            <w:tcW w:w="1339"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仿宋_GB2312" w:hAnsi="Times New Roman" w:eastAsia="仿宋_GB2312" w:cs="Times New Roman"/>
                <w:color w:val="auto"/>
                <w:kern w:val="0"/>
                <w:sz w:val="20"/>
                <w:szCs w:val="20"/>
                <w:highlight w:val="none"/>
                <w:lang w:val="en-US" w:eastAsia="zh-CN" w:bidi="ar-SA"/>
              </w:rPr>
            </w:pPr>
            <w:r>
              <w:rPr>
                <w:rFonts w:hint="eastAsia" w:cs="Times New Roman"/>
                <w:kern w:val="0"/>
                <w:sz w:val="20"/>
                <w:szCs w:val="20"/>
                <w:lang w:val="en-US" w:eastAsia="zh-CN"/>
              </w:rPr>
              <w:t>41</w:t>
            </w:r>
          </w:p>
        </w:tc>
        <w:tc>
          <w:tcPr>
            <w:tcW w:w="1147"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仿宋_GB2312" w:hAnsi="Times New Roman" w:eastAsia="仿宋_GB2312" w:cs="Times New Roman"/>
                <w:color w:val="auto"/>
                <w:kern w:val="0"/>
                <w:sz w:val="20"/>
                <w:szCs w:val="20"/>
                <w:highlight w:val="none"/>
                <w:lang w:val="en-US" w:eastAsia="zh-CN" w:bidi="ar-SA"/>
              </w:rPr>
            </w:pPr>
            <w:r>
              <w:rPr>
                <w:rFonts w:hint="eastAsia" w:cs="Times New Roman"/>
                <w:kern w:val="0"/>
                <w:sz w:val="20"/>
                <w:szCs w:val="20"/>
                <w:lang w:val="en-US" w:eastAsia="zh-CN"/>
              </w:rPr>
              <w:t>41</w:t>
            </w:r>
          </w:p>
        </w:tc>
        <w:tc>
          <w:tcPr>
            <w:tcW w:w="1149"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仿宋_GB2312" w:hAnsi="Times New Roman" w:eastAsia="仿宋_GB2312" w:cs="Times New Roman"/>
                <w:color w:val="auto"/>
                <w:kern w:val="0"/>
                <w:sz w:val="20"/>
                <w:szCs w:val="20"/>
                <w:highlight w:val="none"/>
                <w:lang w:val="en-US" w:eastAsia="zh-CN" w:bidi="ar-SA"/>
              </w:rPr>
            </w:pPr>
            <w:r>
              <w:rPr>
                <w:rFonts w:hint="eastAsia" w:cs="Times New Roman"/>
                <w:kern w:val="0"/>
                <w:sz w:val="20"/>
                <w:szCs w:val="20"/>
                <w:lang w:val="en-US" w:eastAsia="zh-CN"/>
              </w:rPr>
              <w:t>41</w:t>
            </w:r>
          </w:p>
        </w:tc>
        <w:tc>
          <w:tcPr>
            <w:tcW w:w="1147"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hAnsi="Times New Roman" w:eastAsia="仿宋_GB2312" w:cs="Times New Roman"/>
                <w:color w:val="auto"/>
                <w:kern w:val="0"/>
                <w:sz w:val="20"/>
                <w:szCs w:val="20"/>
                <w:highlight w:val="none"/>
                <w:lang w:val="en-US" w:eastAsia="zh-CN" w:bidi="ar-SA"/>
              </w:rPr>
            </w:pPr>
            <w:r>
              <w:rPr>
                <w:rFonts w:hint="eastAsia" w:ascii="仿宋_GB2312" w:cs="Times New Roman"/>
                <w:color w:val="auto"/>
                <w:kern w:val="0"/>
                <w:sz w:val="20"/>
                <w:szCs w:val="20"/>
                <w:highlight w:val="none"/>
                <w:lang w:val="en-US" w:eastAsia="zh-CN"/>
              </w:rPr>
              <w:t>100%</w:t>
            </w:r>
          </w:p>
        </w:tc>
        <w:tc>
          <w:tcPr>
            <w:tcW w:w="1145"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ascii="仿宋_GB2312" w:hAnsi="Times New Roman" w:eastAsia="仿宋_GB2312" w:cs="Times New Roman"/>
                <w:color w:val="auto"/>
                <w:kern w:val="0"/>
                <w:sz w:val="20"/>
                <w:szCs w:val="20"/>
                <w:highlight w:val="none"/>
                <w:lang w:val="en-US" w:eastAsia="zh-CN" w:bidi="ar-SA"/>
              </w:rPr>
            </w:pPr>
            <w:r>
              <w:rPr>
                <w:rFonts w:hint="eastAsia" w:ascii="仿宋_GB2312" w:cs="Times New Roman"/>
                <w:color w:val="auto"/>
                <w:kern w:val="0"/>
                <w:sz w:val="20"/>
                <w:szCs w:val="20"/>
                <w:highlight w:val="none"/>
                <w:lang w:val="en-US" w:eastAsia="zh-CN"/>
              </w:rPr>
              <w:t>100%</w:t>
            </w:r>
          </w:p>
        </w:tc>
      </w:tr>
      <w:tr>
        <w:tblPrEx>
          <w:tblCellMar>
            <w:top w:w="0" w:type="dxa"/>
            <w:left w:w="51" w:type="dxa"/>
            <w:bottom w:w="0" w:type="dxa"/>
            <w:right w:w="51" w:type="dxa"/>
          </w:tblCellMar>
        </w:tblPrEx>
        <w:trPr>
          <w:trHeight w:val="20" w:hRule="atLeast"/>
        </w:trPr>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仿宋_GB2312" w:cs="Times New Roman"/>
                <w:kern w:val="0"/>
                <w:sz w:val="20"/>
                <w:szCs w:val="20"/>
                <w:lang w:val="en-US" w:eastAsia="zh-CN" w:bidi="ar-SA"/>
              </w:rPr>
            </w:pPr>
            <w:r>
              <w:rPr>
                <w:rFonts w:hint="eastAsia" w:cs="Times New Roman"/>
                <w:kern w:val="0"/>
                <w:sz w:val="20"/>
                <w:szCs w:val="20"/>
              </w:rPr>
              <w:t>小型水库工程设施维修养护</w:t>
            </w:r>
          </w:p>
        </w:tc>
        <w:tc>
          <w:tcPr>
            <w:tcW w:w="1339"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仿宋_GB2312" w:hAnsi="Times New Roman" w:eastAsia="仿宋_GB2312" w:cs="Times New Roman"/>
                <w:color w:val="auto"/>
                <w:kern w:val="0"/>
                <w:sz w:val="20"/>
                <w:szCs w:val="20"/>
                <w:highlight w:val="none"/>
                <w:lang w:val="en-US" w:eastAsia="zh-CN" w:bidi="ar-SA"/>
              </w:rPr>
            </w:pPr>
            <w:r>
              <w:rPr>
                <w:rFonts w:hint="eastAsia" w:cs="Times New Roman"/>
                <w:kern w:val="0"/>
                <w:sz w:val="20"/>
                <w:szCs w:val="20"/>
                <w:lang w:val="en-US" w:eastAsia="zh-CN"/>
              </w:rPr>
              <w:t>55.34</w:t>
            </w:r>
          </w:p>
        </w:tc>
        <w:tc>
          <w:tcPr>
            <w:tcW w:w="1147"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default" w:ascii="仿宋_GB2312" w:hAnsi="Times New Roman" w:eastAsia="仿宋_GB2312" w:cs="Times New Roman"/>
                <w:color w:val="auto"/>
                <w:kern w:val="0"/>
                <w:sz w:val="20"/>
                <w:szCs w:val="20"/>
                <w:highlight w:val="none"/>
                <w:lang w:val="en-US" w:eastAsia="zh-CN" w:bidi="ar-SA"/>
              </w:rPr>
            </w:pPr>
            <w:r>
              <w:rPr>
                <w:rFonts w:hint="eastAsia" w:cs="Times New Roman"/>
                <w:kern w:val="0"/>
                <w:sz w:val="20"/>
                <w:szCs w:val="20"/>
                <w:lang w:val="en-US" w:eastAsia="zh-CN"/>
              </w:rPr>
              <w:t>55.34</w:t>
            </w:r>
          </w:p>
        </w:tc>
        <w:tc>
          <w:tcPr>
            <w:tcW w:w="1149"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仿宋_GB2312" w:hAnsi="Times New Roman" w:eastAsia="仿宋_GB2312" w:cs="Times New Roman"/>
                <w:color w:val="auto"/>
                <w:kern w:val="0"/>
                <w:sz w:val="20"/>
                <w:szCs w:val="20"/>
                <w:highlight w:val="none"/>
                <w:lang w:val="en-US" w:eastAsia="zh-CN" w:bidi="ar-SA"/>
              </w:rPr>
            </w:pPr>
            <w:r>
              <w:rPr>
                <w:rFonts w:hint="eastAsia" w:cs="Times New Roman"/>
                <w:kern w:val="0"/>
                <w:sz w:val="20"/>
                <w:szCs w:val="20"/>
                <w:lang w:val="en-US" w:eastAsia="zh-CN"/>
              </w:rPr>
              <w:t>55.3</w:t>
            </w:r>
          </w:p>
        </w:tc>
        <w:tc>
          <w:tcPr>
            <w:tcW w:w="1147"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hint="default" w:ascii="仿宋_GB2312" w:hAnsi="Times New Roman" w:eastAsia="仿宋_GB2312" w:cs="Times New Roman"/>
                <w:color w:val="auto"/>
                <w:kern w:val="0"/>
                <w:sz w:val="20"/>
                <w:szCs w:val="20"/>
                <w:highlight w:val="none"/>
                <w:lang w:val="en-US" w:eastAsia="zh-CN" w:bidi="ar-SA"/>
              </w:rPr>
            </w:pPr>
            <w:r>
              <w:rPr>
                <w:rFonts w:hint="eastAsia" w:ascii="仿宋_GB2312" w:cs="Times New Roman"/>
                <w:color w:val="auto"/>
                <w:kern w:val="0"/>
                <w:sz w:val="20"/>
                <w:szCs w:val="20"/>
                <w:highlight w:val="none"/>
                <w:lang w:val="en-US" w:eastAsia="zh-CN"/>
              </w:rPr>
              <w:t>100%</w:t>
            </w:r>
          </w:p>
        </w:tc>
        <w:tc>
          <w:tcPr>
            <w:tcW w:w="1145"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hint="default" w:ascii="仿宋_GB2312" w:hAnsi="Times New Roman" w:eastAsia="仿宋_GB2312" w:cs="Times New Roman"/>
                <w:color w:val="auto"/>
                <w:kern w:val="0"/>
                <w:sz w:val="20"/>
                <w:szCs w:val="20"/>
                <w:highlight w:val="none"/>
                <w:lang w:val="en-US" w:eastAsia="zh-CN" w:bidi="ar-SA"/>
              </w:rPr>
            </w:pPr>
            <w:r>
              <w:rPr>
                <w:rFonts w:hint="eastAsia" w:ascii="仿宋_GB2312" w:cs="Times New Roman"/>
                <w:color w:val="auto"/>
                <w:kern w:val="0"/>
                <w:sz w:val="20"/>
                <w:szCs w:val="20"/>
                <w:highlight w:val="none"/>
                <w:lang w:val="en-US" w:eastAsia="zh-CN"/>
              </w:rPr>
              <w:t>100%</w:t>
            </w:r>
          </w:p>
        </w:tc>
      </w:tr>
      <w:tr>
        <w:tblPrEx>
          <w:tblCellMar>
            <w:top w:w="0" w:type="dxa"/>
            <w:left w:w="51" w:type="dxa"/>
            <w:bottom w:w="0" w:type="dxa"/>
            <w:right w:w="51" w:type="dxa"/>
          </w:tblCellMar>
        </w:tblPrEx>
        <w:trPr>
          <w:trHeight w:val="20" w:hRule="atLeast"/>
        </w:trPr>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仿宋_GB2312" w:cs="Times New Roman"/>
                <w:kern w:val="0"/>
                <w:sz w:val="20"/>
                <w:szCs w:val="20"/>
                <w:lang w:val="en-US" w:eastAsia="zh-CN" w:bidi="ar-SA"/>
              </w:rPr>
            </w:pPr>
            <w:r>
              <w:rPr>
                <w:rFonts w:hint="eastAsia" w:cs="Times New Roman"/>
                <w:kern w:val="0"/>
                <w:sz w:val="20"/>
                <w:szCs w:val="20"/>
              </w:rPr>
              <w:t>山洪灾害防治非工程措施设施维修养护</w:t>
            </w:r>
          </w:p>
        </w:tc>
        <w:tc>
          <w:tcPr>
            <w:tcW w:w="1339"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仿宋_GB2312" w:hAnsi="Times New Roman" w:eastAsia="仿宋_GB2312" w:cs="Times New Roman"/>
                <w:color w:val="auto"/>
                <w:kern w:val="0"/>
                <w:sz w:val="20"/>
                <w:szCs w:val="20"/>
                <w:lang w:val="en-US" w:eastAsia="zh-CN" w:bidi="ar-SA"/>
              </w:rPr>
            </w:pPr>
            <w:r>
              <w:rPr>
                <w:rFonts w:hint="eastAsia" w:cs="Times New Roman"/>
                <w:kern w:val="0"/>
                <w:sz w:val="20"/>
                <w:szCs w:val="20"/>
                <w:lang w:val="en-US" w:eastAsia="zh-CN"/>
              </w:rPr>
              <w:t>4</w:t>
            </w:r>
          </w:p>
        </w:tc>
        <w:tc>
          <w:tcPr>
            <w:tcW w:w="1147"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仿宋_GB2312" w:hAnsi="Times New Roman" w:eastAsia="仿宋_GB2312" w:cs="Times New Roman"/>
                <w:color w:val="auto"/>
                <w:kern w:val="0"/>
                <w:sz w:val="20"/>
                <w:szCs w:val="20"/>
                <w:lang w:val="en-US" w:eastAsia="zh-CN" w:bidi="ar-SA"/>
              </w:rPr>
            </w:pPr>
            <w:r>
              <w:rPr>
                <w:rFonts w:hint="eastAsia" w:cs="Times New Roman"/>
                <w:kern w:val="0"/>
                <w:sz w:val="20"/>
                <w:szCs w:val="20"/>
                <w:lang w:val="en-US" w:eastAsia="zh-CN"/>
              </w:rPr>
              <w:t>4</w:t>
            </w:r>
          </w:p>
        </w:tc>
        <w:tc>
          <w:tcPr>
            <w:tcW w:w="1149"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仿宋_GB2312" w:hAnsi="Times New Roman" w:eastAsia="仿宋_GB2312" w:cs="Times New Roman"/>
                <w:color w:val="auto"/>
                <w:kern w:val="0"/>
                <w:sz w:val="20"/>
                <w:szCs w:val="20"/>
                <w:lang w:val="en-US" w:eastAsia="zh-CN" w:bidi="ar-SA"/>
              </w:rPr>
            </w:pPr>
            <w:r>
              <w:rPr>
                <w:rFonts w:hint="eastAsia" w:cs="Times New Roman"/>
                <w:kern w:val="0"/>
                <w:sz w:val="20"/>
                <w:szCs w:val="20"/>
                <w:lang w:val="en-US" w:eastAsia="zh-CN"/>
              </w:rPr>
              <w:t>4</w:t>
            </w:r>
          </w:p>
        </w:tc>
        <w:tc>
          <w:tcPr>
            <w:tcW w:w="1147"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hint="eastAsia" w:ascii="仿宋_GB2312" w:hAnsi="Times New Roman" w:eastAsia="仿宋_GB2312" w:cs="Times New Roman"/>
                <w:color w:val="auto"/>
                <w:kern w:val="0"/>
                <w:sz w:val="20"/>
                <w:szCs w:val="20"/>
                <w:lang w:val="en-US" w:eastAsia="zh-CN" w:bidi="ar-SA"/>
              </w:rPr>
            </w:pPr>
            <w:r>
              <w:rPr>
                <w:rFonts w:hint="eastAsia" w:ascii="仿宋_GB2312" w:cs="Times New Roman"/>
                <w:color w:val="auto"/>
                <w:kern w:val="0"/>
                <w:sz w:val="20"/>
                <w:szCs w:val="20"/>
                <w:lang w:val="en-US" w:eastAsia="zh-CN"/>
              </w:rPr>
              <w:t>100%</w:t>
            </w:r>
          </w:p>
        </w:tc>
        <w:tc>
          <w:tcPr>
            <w:tcW w:w="1145"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hint="eastAsia" w:ascii="仿宋_GB2312" w:hAnsi="Times New Roman" w:eastAsia="仿宋_GB2312" w:cs="Times New Roman"/>
                <w:color w:val="auto"/>
                <w:kern w:val="0"/>
                <w:sz w:val="20"/>
                <w:szCs w:val="20"/>
                <w:lang w:val="en-US" w:eastAsia="zh-CN" w:bidi="ar-SA"/>
              </w:rPr>
            </w:pPr>
            <w:r>
              <w:rPr>
                <w:rFonts w:hint="eastAsia" w:ascii="仿宋_GB2312" w:cs="Times New Roman"/>
                <w:color w:val="auto"/>
                <w:kern w:val="0"/>
                <w:sz w:val="20"/>
                <w:szCs w:val="20"/>
                <w:lang w:val="en-US" w:eastAsia="zh-CN"/>
              </w:rPr>
              <w:t>100%</w:t>
            </w:r>
          </w:p>
        </w:tc>
      </w:tr>
      <w:tr>
        <w:tblPrEx>
          <w:tblCellMar>
            <w:top w:w="0" w:type="dxa"/>
            <w:left w:w="51" w:type="dxa"/>
            <w:bottom w:w="0" w:type="dxa"/>
            <w:right w:w="51" w:type="dxa"/>
          </w:tblCellMar>
        </w:tblPrEx>
        <w:trPr>
          <w:trHeight w:val="20" w:hRule="atLeast"/>
        </w:trPr>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仿宋_GB2312" w:cs="Times New Roman"/>
                <w:kern w:val="0"/>
                <w:sz w:val="20"/>
                <w:szCs w:val="20"/>
                <w:lang w:val="en-US" w:eastAsia="zh-CN" w:bidi="ar-SA"/>
              </w:rPr>
            </w:pPr>
            <w:r>
              <w:rPr>
                <w:rFonts w:hint="eastAsia" w:cs="Times New Roman"/>
                <w:kern w:val="0"/>
                <w:sz w:val="20"/>
                <w:szCs w:val="20"/>
              </w:rPr>
              <w:t>农业水价综合改革</w:t>
            </w:r>
          </w:p>
        </w:tc>
        <w:tc>
          <w:tcPr>
            <w:tcW w:w="1339"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等线" w:cs="Times New Roman"/>
                <w:color w:val="auto"/>
                <w:kern w:val="0"/>
                <w:sz w:val="20"/>
                <w:szCs w:val="20"/>
                <w:highlight w:val="none"/>
                <w:lang w:val="en-US" w:eastAsia="zh-CN" w:bidi="ar-SA"/>
              </w:rPr>
            </w:pPr>
            <w:r>
              <w:rPr>
                <w:rFonts w:hint="eastAsia" w:cs="Times New Roman"/>
                <w:kern w:val="0"/>
                <w:sz w:val="20"/>
                <w:szCs w:val="20"/>
                <w:lang w:val="en-US" w:eastAsia="zh-CN"/>
              </w:rPr>
              <w:t>21</w:t>
            </w:r>
          </w:p>
        </w:tc>
        <w:tc>
          <w:tcPr>
            <w:tcW w:w="1147"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等线" w:cs="Times New Roman"/>
                <w:color w:val="auto"/>
                <w:kern w:val="0"/>
                <w:sz w:val="20"/>
                <w:szCs w:val="20"/>
                <w:lang w:val="en-US" w:eastAsia="zh-CN" w:bidi="ar-SA"/>
              </w:rPr>
            </w:pPr>
            <w:r>
              <w:rPr>
                <w:rFonts w:hint="eastAsia" w:cs="Times New Roman"/>
                <w:kern w:val="0"/>
                <w:sz w:val="20"/>
                <w:szCs w:val="20"/>
                <w:lang w:val="en-US" w:eastAsia="zh-CN"/>
              </w:rPr>
              <w:t>21</w:t>
            </w:r>
          </w:p>
        </w:tc>
        <w:tc>
          <w:tcPr>
            <w:tcW w:w="1149" w:type="dxa"/>
            <w:tcBorders>
              <w:top w:val="single" w:color="auto" w:sz="4" w:space="0"/>
              <w:left w:val="nil"/>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等线" w:cs="Times New Roman"/>
                <w:color w:val="auto"/>
                <w:kern w:val="0"/>
                <w:sz w:val="20"/>
                <w:szCs w:val="20"/>
                <w:lang w:val="en-US" w:eastAsia="zh-CN" w:bidi="ar-SA"/>
              </w:rPr>
            </w:pPr>
            <w:r>
              <w:rPr>
                <w:rFonts w:hint="eastAsia" w:cs="Times New Roman"/>
                <w:kern w:val="0"/>
                <w:sz w:val="20"/>
                <w:szCs w:val="20"/>
                <w:lang w:val="en-US" w:eastAsia="zh-CN"/>
              </w:rPr>
              <w:t>21</w:t>
            </w:r>
          </w:p>
        </w:tc>
        <w:tc>
          <w:tcPr>
            <w:tcW w:w="1147"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hint="eastAsia" w:ascii="仿宋_GB2312" w:hAnsi="Times New Roman" w:eastAsia="仿宋_GB2312" w:cs="Times New Roman"/>
                <w:color w:val="auto"/>
                <w:kern w:val="0"/>
                <w:sz w:val="20"/>
                <w:szCs w:val="20"/>
                <w:lang w:val="en-US" w:eastAsia="zh-CN" w:bidi="ar-SA"/>
              </w:rPr>
            </w:pPr>
            <w:r>
              <w:rPr>
                <w:rFonts w:hint="eastAsia" w:ascii="仿宋_GB2312" w:cs="Times New Roman"/>
                <w:color w:val="auto"/>
                <w:kern w:val="0"/>
                <w:sz w:val="20"/>
                <w:szCs w:val="20"/>
                <w:lang w:val="en-US" w:eastAsia="zh-CN"/>
              </w:rPr>
              <w:t>100%</w:t>
            </w:r>
          </w:p>
        </w:tc>
        <w:tc>
          <w:tcPr>
            <w:tcW w:w="1145" w:type="dxa"/>
            <w:tcBorders>
              <w:top w:val="single" w:color="auto" w:sz="4" w:space="0"/>
              <w:left w:val="nil"/>
              <w:bottom w:val="single" w:color="auto" w:sz="4" w:space="0"/>
              <w:right w:val="single" w:color="auto" w:sz="4" w:space="0"/>
            </w:tcBorders>
            <w:shd w:val="clear" w:color="auto" w:fill="auto"/>
            <w:vAlign w:val="center"/>
          </w:tcPr>
          <w:p>
            <w:pPr>
              <w:widowControl w:val="0"/>
              <w:spacing w:line="260" w:lineRule="exact"/>
              <w:ind w:firstLine="0" w:firstLineChars="0"/>
              <w:jc w:val="center"/>
              <w:rPr>
                <w:rFonts w:hint="eastAsia" w:ascii="仿宋_GB2312" w:hAnsi="Times New Roman" w:eastAsia="仿宋_GB2312" w:cs="Times New Roman"/>
                <w:color w:val="auto"/>
                <w:kern w:val="0"/>
                <w:sz w:val="20"/>
                <w:szCs w:val="20"/>
                <w:lang w:val="en-US" w:eastAsia="zh-CN" w:bidi="ar-SA"/>
              </w:rPr>
            </w:pPr>
            <w:r>
              <w:rPr>
                <w:rFonts w:hint="eastAsia" w:ascii="仿宋_GB2312" w:cs="Times New Roman"/>
                <w:color w:val="auto"/>
                <w:kern w:val="0"/>
                <w:sz w:val="20"/>
                <w:szCs w:val="20"/>
                <w:lang w:val="en-US" w:eastAsia="zh-CN"/>
              </w:rPr>
              <w:t>100%</w:t>
            </w:r>
          </w:p>
        </w:tc>
      </w:tr>
    </w:tbl>
    <w:p>
      <w:pPr>
        <w:widowControl w:val="0"/>
        <w:spacing w:line="260" w:lineRule="exact"/>
        <w:ind w:firstLine="0" w:firstLineChars="0"/>
        <w:rPr>
          <w:rFonts w:cs="Times New Roman"/>
          <w:color w:val="auto"/>
          <w:sz w:val="20"/>
          <w:szCs w:val="20"/>
        </w:rPr>
      </w:pPr>
      <w:r>
        <w:rPr>
          <w:rFonts w:cs="Times New Roman"/>
          <w:color w:val="auto"/>
          <w:sz w:val="20"/>
          <w:szCs w:val="20"/>
        </w:rPr>
        <w:t>注</w:t>
      </w:r>
      <w:r>
        <w:rPr>
          <w:rFonts w:hint="eastAsia" w:cs="Times New Roman"/>
          <w:color w:val="auto"/>
          <w:sz w:val="20"/>
          <w:szCs w:val="20"/>
        </w:rPr>
        <w:t>：根据</w:t>
      </w:r>
      <w:r>
        <w:rPr>
          <w:rFonts w:hint="eastAsia" w:cs="Times New Roman"/>
          <w:color w:val="auto"/>
          <w:kern w:val="0"/>
          <w:sz w:val="20"/>
          <w:szCs w:val="20"/>
        </w:rPr>
        <w:t>扣除贫困县资金</w:t>
      </w:r>
      <w:r>
        <w:rPr>
          <w:rFonts w:cs="Times New Roman"/>
          <w:color w:val="auto"/>
          <w:sz w:val="20"/>
          <w:szCs w:val="20"/>
        </w:rPr>
        <w:t>后</w:t>
      </w:r>
      <w:r>
        <w:rPr>
          <w:rFonts w:hint="eastAsia" w:cs="Times New Roman"/>
          <w:color w:val="auto"/>
          <w:sz w:val="20"/>
          <w:szCs w:val="20"/>
        </w:rPr>
        <w:t>投资（A）、</w:t>
      </w:r>
      <w:r>
        <w:rPr>
          <w:rFonts w:cs="Times New Roman"/>
          <w:color w:val="auto"/>
          <w:sz w:val="20"/>
          <w:szCs w:val="20"/>
        </w:rPr>
        <w:t>完成投资</w:t>
      </w:r>
      <w:r>
        <w:rPr>
          <w:rFonts w:hint="eastAsia" w:cs="Times New Roman"/>
          <w:color w:val="auto"/>
          <w:sz w:val="20"/>
          <w:szCs w:val="20"/>
        </w:rPr>
        <w:t>（</w:t>
      </w:r>
      <w:r>
        <w:rPr>
          <w:rFonts w:cs="Times New Roman"/>
          <w:color w:val="auto"/>
          <w:sz w:val="20"/>
          <w:szCs w:val="20"/>
        </w:rPr>
        <w:t>B</w:t>
      </w:r>
      <w:r>
        <w:rPr>
          <w:rFonts w:hint="eastAsia" w:cs="Times New Roman"/>
          <w:color w:val="auto"/>
          <w:sz w:val="20"/>
          <w:szCs w:val="20"/>
        </w:rPr>
        <w:t>）（</w:t>
      </w:r>
      <w:r>
        <w:rPr>
          <w:rFonts w:cs="Times New Roman"/>
          <w:color w:val="auto"/>
          <w:sz w:val="20"/>
          <w:szCs w:val="20"/>
        </w:rPr>
        <w:t>包括中央财政资金</w:t>
      </w:r>
      <w:r>
        <w:rPr>
          <w:rFonts w:hint="eastAsia" w:cs="Times New Roman"/>
          <w:color w:val="auto"/>
          <w:sz w:val="20"/>
          <w:szCs w:val="20"/>
        </w:rPr>
        <w:t>、省级财政资金、</w:t>
      </w:r>
      <w:r>
        <w:rPr>
          <w:rFonts w:cs="Times New Roman"/>
          <w:color w:val="auto"/>
          <w:sz w:val="20"/>
          <w:szCs w:val="20"/>
        </w:rPr>
        <w:t>地方财政资金和其他资金</w:t>
      </w:r>
      <w:r>
        <w:rPr>
          <w:rFonts w:hint="eastAsia" w:cs="Times New Roman"/>
          <w:color w:val="auto"/>
          <w:sz w:val="20"/>
          <w:szCs w:val="20"/>
        </w:rPr>
        <w:t>）计算投资完成率（</w:t>
      </w:r>
      <w:r>
        <w:rPr>
          <w:rFonts w:cs="Times New Roman"/>
          <w:color w:val="auto"/>
          <w:sz w:val="20"/>
          <w:szCs w:val="20"/>
        </w:rPr>
        <w:t>B/A</w:t>
      </w:r>
      <w:r>
        <w:rPr>
          <w:rFonts w:hint="eastAsia" w:cs="Times New Roman"/>
          <w:color w:val="auto"/>
          <w:sz w:val="20"/>
          <w:szCs w:val="20"/>
        </w:rPr>
        <w:t>）</w:t>
      </w:r>
    </w:p>
    <w:p>
      <w:pPr>
        <w:widowControl w:val="0"/>
        <w:spacing w:line="560" w:lineRule="exact"/>
        <w:ind w:firstLine="640"/>
        <w:rPr>
          <w:rFonts w:cs="Times New Roman"/>
          <w:color w:val="auto"/>
          <w:sz w:val="32"/>
          <w:szCs w:val="32"/>
        </w:rPr>
      </w:pPr>
      <w:r>
        <w:rPr>
          <w:rFonts w:hint="eastAsia" w:cs="Times New Roman"/>
          <w:color w:val="auto"/>
          <w:sz w:val="32"/>
          <w:szCs w:val="32"/>
        </w:rPr>
        <w:t>3.资金管理情况</w:t>
      </w:r>
    </w:p>
    <w:p>
      <w:pPr>
        <w:widowControl w:val="0"/>
        <w:spacing w:line="560" w:lineRule="exact"/>
        <w:ind w:firstLine="640"/>
        <w:rPr>
          <w:rFonts w:hint="eastAsia" w:ascii="仿宋" w:hAnsi="仿宋" w:eastAsia="仿宋" w:cs="仿宋"/>
          <w:sz w:val="30"/>
          <w:szCs w:val="30"/>
        </w:rPr>
      </w:pPr>
      <w:r>
        <w:rPr>
          <w:rFonts w:hint="eastAsia" w:ascii="仿宋" w:hAnsi="仿宋" w:eastAsia="仿宋" w:cs="仿宋"/>
          <w:sz w:val="30"/>
          <w:szCs w:val="30"/>
          <w:lang w:eastAsia="zh-CN"/>
        </w:rPr>
        <w:t>我县水利工程</w:t>
      </w:r>
      <w:r>
        <w:rPr>
          <w:rFonts w:hint="eastAsia" w:ascii="仿宋" w:hAnsi="仿宋" w:eastAsia="仿宋" w:cs="仿宋"/>
          <w:sz w:val="30"/>
          <w:szCs w:val="30"/>
        </w:rPr>
        <w:t>项目建设资金的管理严格执行基本建设财务管理制度，</w:t>
      </w:r>
      <w:r>
        <w:rPr>
          <w:rFonts w:hint="eastAsia" w:ascii="仿宋" w:hAnsi="仿宋" w:eastAsia="仿宋" w:cs="仿宋"/>
          <w:color w:val="auto"/>
          <w:sz w:val="30"/>
          <w:szCs w:val="30"/>
        </w:rPr>
        <w:t>实行财政专户管理，单独核算，</w:t>
      </w:r>
      <w:r>
        <w:rPr>
          <w:rFonts w:hint="eastAsia" w:ascii="仿宋" w:hAnsi="仿宋" w:eastAsia="仿宋" w:cs="仿宋"/>
          <w:sz w:val="30"/>
          <w:szCs w:val="30"/>
        </w:rPr>
        <w:t>确保专款专用。严格按照财政部、水利</w:t>
      </w:r>
      <w:r>
        <w:rPr>
          <w:rFonts w:hint="eastAsia" w:ascii="仿宋" w:hAnsi="仿宋" w:eastAsia="仿宋" w:cs="仿宋"/>
          <w:sz w:val="30"/>
          <w:szCs w:val="30"/>
          <w:lang w:eastAsia="zh-CN"/>
        </w:rPr>
        <w:t>部</w:t>
      </w:r>
      <w:r>
        <w:rPr>
          <w:rFonts w:hint="eastAsia" w:ascii="仿宋" w:hAnsi="仿宋" w:eastAsia="仿宋" w:cs="仿宋"/>
          <w:sz w:val="30"/>
          <w:szCs w:val="30"/>
        </w:rPr>
        <w:t>有关项目的专项资金管理办法进行管理和使用专项资金。资金实行国库集中支付</w:t>
      </w:r>
      <w:r>
        <w:rPr>
          <w:rFonts w:hint="eastAsia" w:ascii="仿宋" w:hAnsi="仿宋" w:eastAsia="仿宋" w:cs="仿宋"/>
          <w:sz w:val="30"/>
          <w:szCs w:val="30"/>
          <w:lang w:eastAsia="zh-CN"/>
        </w:rPr>
        <w:t>，</w:t>
      </w:r>
      <w:r>
        <w:rPr>
          <w:rFonts w:hint="eastAsia" w:ascii="仿宋" w:hAnsi="仿宋" w:eastAsia="仿宋" w:cs="仿宋"/>
          <w:color w:val="auto"/>
          <w:sz w:val="30"/>
          <w:szCs w:val="30"/>
        </w:rPr>
        <w:t>手</w:t>
      </w:r>
      <w:bookmarkStart w:id="0" w:name="_GoBack"/>
      <w:bookmarkEnd w:id="0"/>
      <w:r>
        <w:rPr>
          <w:rFonts w:hint="eastAsia" w:ascii="仿宋" w:hAnsi="仿宋" w:eastAsia="仿宋" w:cs="仿宋"/>
          <w:color w:val="auto"/>
          <w:sz w:val="30"/>
          <w:szCs w:val="30"/>
        </w:rPr>
        <w:t>续齐全真实，工程款的支付按照施工单位申请、监理审核、业主审批、财政直接支付的程序。</w:t>
      </w:r>
      <w:r>
        <w:rPr>
          <w:rFonts w:hint="eastAsia" w:ascii="仿宋" w:hAnsi="仿宋" w:eastAsia="仿宋" w:cs="仿宋"/>
          <w:sz w:val="30"/>
          <w:szCs w:val="30"/>
        </w:rPr>
        <w:t>由</w:t>
      </w:r>
      <w:r>
        <w:rPr>
          <w:rFonts w:hint="eastAsia" w:ascii="仿宋" w:hAnsi="仿宋" w:eastAsia="仿宋" w:cs="仿宋"/>
          <w:sz w:val="30"/>
          <w:szCs w:val="30"/>
          <w:lang w:eastAsia="zh-CN"/>
        </w:rPr>
        <w:t>县</w:t>
      </w:r>
      <w:r>
        <w:rPr>
          <w:rFonts w:hint="eastAsia" w:ascii="仿宋" w:hAnsi="仿宋" w:eastAsia="仿宋" w:cs="仿宋"/>
          <w:sz w:val="30"/>
          <w:szCs w:val="30"/>
        </w:rPr>
        <w:t>财政直接将资金拨付到项目</w:t>
      </w:r>
      <w:r>
        <w:rPr>
          <w:rFonts w:hint="eastAsia" w:ascii="仿宋" w:hAnsi="仿宋" w:eastAsia="仿宋" w:cs="仿宋"/>
          <w:sz w:val="30"/>
          <w:szCs w:val="30"/>
          <w:lang w:eastAsia="zh-CN"/>
        </w:rPr>
        <w:t>实施</w:t>
      </w:r>
      <w:r>
        <w:rPr>
          <w:rFonts w:hint="eastAsia" w:ascii="仿宋" w:hAnsi="仿宋" w:eastAsia="仿宋" w:cs="仿宋"/>
          <w:sz w:val="30"/>
          <w:szCs w:val="30"/>
        </w:rPr>
        <w:t>单位</w:t>
      </w:r>
      <w:r>
        <w:rPr>
          <w:rFonts w:hint="eastAsia" w:ascii="仿宋" w:hAnsi="仿宋" w:eastAsia="仿宋" w:cs="仿宋"/>
          <w:sz w:val="30"/>
          <w:szCs w:val="30"/>
          <w:lang w:eastAsia="zh-CN"/>
        </w:rPr>
        <w:t>；</w:t>
      </w:r>
      <w:r>
        <w:rPr>
          <w:rFonts w:hint="eastAsia" w:ascii="仿宋" w:hAnsi="仿宋" w:eastAsia="仿宋" w:cs="仿宋"/>
          <w:sz w:val="30"/>
          <w:szCs w:val="30"/>
        </w:rPr>
        <w:t>坚决执行党政一把手不直接管财务的各项规定，</w:t>
      </w:r>
      <w:r>
        <w:rPr>
          <w:rFonts w:hint="eastAsia" w:ascii="仿宋" w:hAnsi="仿宋" w:eastAsia="仿宋" w:cs="仿宋"/>
          <w:sz w:val="30"/>
          <w:szCs w:val="30"/>
          <w:lang w:eastAsia="zh-CN"/>
        </w:rPr>
        <w:t>杜绝</w:t>
      </w:r>
      <w:r>
        <w:rPr>
          <w:rFonts w:hint="eastAsia" w:ascii="仿宋" w:hAnsi="仿宋" w:eastAsia="仿宋" w:cs="仿宋"/>
          <w:sz w:val="30"/>
          <w:szCs w:val="30"/>
        </w:rPr>
        <w:t>大额现金支付工程款，一律使用转帐结算。坚持开展县审计部门对水利项目专项审计工作</w:t>
      </w:r>
      <w:r>
        <w:rPr>
          <w:rFonts w:hint="eastAsia" w:ascii="仿宋" w:hAnsi="仿宋" w:eastAsia="仿宋" w:cs="仿宋"/>
          <w:sz w:val="30"/>
          <w:szCs w:val="30"/>
          <w:lang w:eastAsia="zh-CN"/>
        </w:rPr>
        <w:t>；</w:t>
      </w:r>
      <w:r>
        <w:rPr>
          <w:rFonts w:hint="eastAsia" w:ascii="仿宋" w:hAnsi="仿宋" w:eastAsia="仿宋" w:cs="仿宋"/>
          <w:sz w:val="30"/>
          <w:szCs w:val="30"/>
        </w:rPr>
        <w:t>在历次</w:t>
      </w:r>
      <w:r>
        <w:rPr>
          <w:rFonts w:hint="eastAsia" w:ascii="仿宋" w:hAnsi="仿宋" w:eastAsia="仿宋" w:cs="仿宋"/>
          <w:sz w:val="30"/>
          <w:szCs w:val="30"/>
          <w:lang w:eastAsia="zh-CN"/>
        </w:rPr>
        <w:t>审计、稽查及监督检查</w:t>
      </w:r>
      <w:r>
        <w:rPr>
          <w:rFonts w:hint="eastAsia" w:ascii="仿宋" w:hAnsi="仿宋" w:eastAsia="仿宋" w:cs="仿宋"/>
          <w:sz w:val="30"/>
          <w:szCs w:val="30"/>
        </w:rPr>
        <w:t>中</w:t>
      </w:r>
      <w:r>
        <w:rPr>
          <w:rFonts w:hint="eastAsia" w:ascii="仿宋" w:hAnsi="仿宋" w:eastAsia="仿宋" w:cs="仿宋"/>
          <w:sz w:val="30"/>
          <w:szCs w:val="30"/>
          <w:lang w:eastAsia="zh-CN"/>
        </w:rPr>
        <w:t>从</w:t>
      </w:r>
      <w:r>
        <w:rPr>
          <w:rFonts w:hint="eastAsia" w:ascii="仿宋" w:hAnsi="仿宋" w:eastAsia="仿宋" w:cs="仿宋"/>
          <w:sz w:val="30"/>
          <w:szCs w:val="30"/>
        </w:rPr>
        <w:t>未发现资金</w:t>
      </w:r>
      <w:r>
        <w:rPr>
          <w:rFonts w:hint="eastAsia" w:ascii="仿宋" w:hAnsi="仿宋" w:eastAsia="仿宋" w:cs="仿宋"/>
          <w:sz w:val="30"/>
          <w:szCs w:val="30"/>
          <w:lang w:eastAsia="zh-CN"/>
        </w:rPr>
        <w:t>安全</w:t>
      </w:r>
      <w:r>
        <w:rPr>
          <w:rFonts w:hint="eastAsia" w:ascii="仿宋" w:hAnsi="仿宋" w:eastAsia="仿宋" w:cs="仿宋"/>
          <w:sz w:val="30"/>
          <w:szCs w:val="30"/>
        </w:rPr>
        <w:t>问题。</w:t>
      </w:r>
    </w:p>
    <w:p>
      <w:pPr>
        <w:pStyle w:val="3"/>
        <w:pageBreakBefore w:val="0"/>
        <w:widowControl w:val="0"/>
        <w:kinsoku/>
        <w:wordWrap/>
        <w:overflowPunct/>
        <w:topLinePunct w:val="0"/>
        <w:autoSpaceDE/>
        <w:autoSpaceDN/>
        <w:bidi w:val="0"/>
        <w:adjustRightInd/>
        <w:snapToGrid/>
        <w:spacing w:line="560" w:lineRule="exact"/>
        <w:ind w:firstLine="640"/>
        <w:textAlignment w:val="auto"/>
        <w:rPr>
          <w:rFonts w:ascii="楷体" w:hAnsi="楷体" w:eastAsia="楷体" w:cs="Times New Roman"/>
          <w:bCs w:val="0"/>
          <w:color w:val="auto"/>
          <w:sz w:val="32"/>
        </w:rPr>
      </w:pPr>
      <w:r>
        <w:rPr>
          <w:rFonts w:hint="eastAsia" w:ascii="楷体" w:hAnsi="楷体" w:eastAsia="楷体" w:cs="Times New Roman"/>
          <w:bCs w:val="0"/>
          <w:color w:val="auto"/>
          <w:sz w:val="32"/>
        </w:rPr>
        <w:t>（二）项目管理情况分析</w:t>
      </w:r>
    </w:p>
    <w:p>
      <w:pPr>
        <w:pageBreakBefore w:val="0"/>
        <w:widowControl w:val="0"/>
        <w:kinsoku/>
        <w:wordWrap/>
        <w:overflowPunct/>
        <w:topLinePunct w:val="0"/>
        <w:autoSpaceDE/>
        <w:autoSpaceDN/>
        <w:bidi w:val="0"/>
        <w:adjustRightInd/>
        <w:snapToGrid/>
        <w:spacing w:line="560" w:lineRule="exact"/>
        <w:ind w:firstLine="640"/>
        <w:textAlignment w:val="auto"/>
        <w:rPr>
          <w:rFonts w:cs="Times New Roman"/>
          <w:color w:val="auto"/>
          <w:sz w:val="32"/>
          <w:szCs w:val="32"/>
        </w:rPr>
      </w:pPr>
      <w:r>
        <w:rPr>
          <w:rFonts w:hint="eastAsia" w:cs="Times New Roman"/>
          <w:color w:val="auto"/>
          <w:sz w:val="32"/>
          <w:szCs w:val="32"/>
        </w:rPr>
        <w:t>1.组织实施</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val="0"/>
          <w:sz w:val="30"/>
          <w:szCs w:val="30"/>
          <w:highlight w:val="none"/>
          <w:lang w:eastAsia="zh-CN"/>
        </w:rPr>
      </w:pPr>
      <w:r>
        <w:rPr>
          <w:rFonts w:hint="eastAsia" w:ascii="仿宋" w:hAnsi="仿宋" w:eastAsia="仿宋" w:cs="仿宋"/>
          <w:b w:val="0"/>
          <w:bCs w:val="0"/>
          <w:sz w:val="30"/>
          <w:szCs w:val="30"/>
          <w:highlight w:val="none"/>
          <w:lang w:eastAsia="zh-CN"/>
        </w:rPr>
        <w:t>重点中型灌区节水配套改造、农村饮水工程维修养护、农业水价综合改革由农水股负责实施；水土流失综合治理由水保局负责实施；小型水库工程设施维修养护由建管股负责实施；</w:t>
      </w:r>
      <w:r>
        <w:rPr>
          <w:rFonts w:hint="eastAsia" w:ascii="仿宋" w:hAnsi="仿宋" w:eastAsia="仿宋" w:cs="仿宋"/>
          <w:b w:val="0"/>
          <w:bCs w:val="0"/>
          <w:sz w:val="30"/>
          <w:szCs w:val="30"/>
          <w:highlight w:val="none"/>
        </w:rPr>
        <w:t>山洪灾害防治非工程措施设施维修养护由</w:t>
      </w:r>
      <w:r>
        <w:rPr>
          <w:rFonts w:hint="eastAsia" w:ascii="仿宋" w:hAnsi="仿宋" w:eastAsia="仿宋" w:cs="仿宋"/>
          <w:b w:val="0"/>
          <w:bCs w:val="0"/>
          <w:sz w:val="30"/>
          <w:szCs w:val="30"/>
          <w:highlight w:val="none"/>
          <w:lang w:eastAsia="zh-CN"/>
        </w:rPr>
        <w:t>县</w:t>
      </w:r>
      <w:r>
        <w:rPr>
          <w:rFonts w:hint="eastAsia" w:ascii="仿宋" w:hAnsi="仿宋" w:eastAsia="仿宋" w:cs="仿宋"/>
          <w:b w:val="0"/>
          <w:bCs w:val="0"/>
          <w:sz w:val="30"/>
          <w:szCs w:val="30"/>
          <w:highlight w:val="none"/>
        </w:rPr>
        <w:t>防汛抗旱指挥部负责组织领导及具体实施，各有关乡镇、行政村积极配合</w:t>
      </w:r>
      <w:r>
        <w:rPr>
          <w:rFonts w:hint="eastAsia" w:ascii="仿宋" w:hAnsi="仿宋" w:eastAsia="仿宋" w:cs="仿宋"/>
          <w:b w:val="0"/>
          <w:bCs w:val="0"/>
          <w:sz w:val="30"/>
          <w:szCs w:val="30"/>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另外，我局就水利工程建设还出台了《实行“四项制度”管理的规定》，水利工程项目建设严格执行项目法人制、招标投标制、建设监理制、合同管理制。</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Cs/>
          <w:color w:val="0000FF"/>
          <w:sz w:val="30"/>
          <w:szCs w:val="30"/>
        </w:rPr>
      </w:pPr>
      <w:r>
        <w:rPr>
          <w:rFonts w:hint="eastAsia" w:ascii="仿宋" w:hAnsi="仿宋" w:eastAsia="仿宋" w:cs="仿宋"/>
          <w:sz w:val="30"/>
          <w:szCs w:val="30"/>
          <w:lang w:val="en-US" w:eastAsia="zh-CN"/>
        </w:rPr>
        <w:t>我县自评材料填报规范、盖章规范。</w:t>
      </w:r>
    </w:p>
    <w:p>
      <w:pPr>
        <w:pageBreakBefore w:val="0"/>
        <w:widowControl w:val="0"/>
        <w:numPr>
          <w:ilvl w:val="0"/>
          <w:numId w:val="2"/>
        </w:numPr>
        <w:kinsoku/>
        <w:wordWrap/>
        <w:overflowPunct/>
        <w:topLinePunct w:val="0"/>
        <w:autoSpaceDE/>
        <w:autoSpaceDN/>
        <w:bidi w:val="0"/>
        <w:adjustRightInd/>
        <w:snapToGrid/>
        <w:spacing w:line="560" w:lineRule="exact"/>
        <w:ind w:firstLine="640"/>
        <w:textAlignment w:val="auto"/>
        <w:rPr>
          <w:rFonts w:hint="eastAsia" w:cs="Times New Roman"/>
          <w:color w:val="auto"/>
          <w:sz w:val="32"/>
          <w:szCs w:val="32"/>
        </w:rPr>
      </w:pPr>
      <w:r>
        <w:rPr>
          <w:rFonts w:hint="eastAsia" w:cs="Times New Roman"/>
          <w:color w:val="auto"/>
          <w:sz w:val="32"/>
          <w:szCs w:val="32"/>
        </w:rPr>
        <w:t>绩效管理</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eastAsia="仿宋_GB2312"/>
          <w:color w:val="FF0000"/>
          <w:highlight w:val="none"/>
          <w:lang w:val="en-US" w:eastAsia="zh-CN"/>
        </w:rPr>
      </w:pPr>
      <w:r>
        <w:rPr>
          <w:rFonts w:hint="eastAsia" w:ascii="仿宋" w:hAnsi="仿宋" w:eastAsia="仿宋" w:cs="仿宋"/>
          <w:color w:val="auto"/>
          <w:sz w:val="30"/>
          <w:szCs w:val="30"/>
          <w:highlight w:val="none"/>
          <w:lang w:val="en-US" w:eastAsia="zh-CN"/>
        </w:rPr>
        <w:t>我局针对水利工程建设，出台了《</w:t>
      </w:r>
      <w:r>
        <w:rPr>
          <w:rFonts w:hint="eastAsia" w:ascii="仿宋" w:hAnsi="仿宋" w:eastAsia="仿宋" w:cs="仿宋"/>
          <w:sz w:val="30"/>
          <w:szCs w:val="30"/>
          <w:highlight w:val="none"/>
          <w:lang w:val="en-US" w:eastAsia="zh-CN"/>
        </w:rPr>
        <w:t>大余县水利工程项目绩效管理暂行办法》，</w:t>
      </w:r>
      <w:r>
        <w:rPr>
          <w:rFonts w:hint="eastAsia" w:ascii="仿宋" w:hAnsi="仿宋" w:eastAsia="仿宋" w:cs="仿宋"/>
          <w:color w:val="auto"/>
          <w:sz w:val="30"/>
          <w:szCs w:val="30"/>
          <w:highlight w:val="none"/>
          <w:lang w:val="en-US" w:eastAsia="zh-CN"/>
        </w:rPr>
        <w:t>为切实做好我县2019年度中央财政水利发展资金绩效自评工作，于6月20日召集县水利局、财政局相关科室人员，召开2019年度中央财政水利发展资金及省级财政专项资金绩效评价布置会，会议要求严格按照上级文件精神进行项目资金绩效评价，明确县水利局、财政局分别安排1名固定人员具体负责绩效目标管理工作，水利局相关科室人员负责提供项目绩效作证材料，财政局负责审核；采取实事求是、责任到人的方法开展自评，确保资料填报及时、准确。</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并做到了自评报告及表格填报准确、完整，应提供的绩效目标调整情况等说明和证明材料清晰。</w:t>
      </w:r>
    </w:p>
    <w:p>
      <w:pPr>
        <w:pStyle w:val="3"/>
        <w:pageBreakBefore w:val="0"/>
        <w:widowControl w:val="0"/>
        <w:kinsoku/>
        <w:wordWrap/>
        <w:overflowPunct/>
        <w:topLinePunct w:val="0"/>
        <w:autoSpaceDE/>
        <w:autoSpaceDN/>
        <w:bidi w:val="0"/>
        <w:adjustRightInd/>
        <w:snapToGrid/>
        <w:spacing w:line="560" w:lineRule="exact"/>
        <w:ind w:firstLine="640"/>
        <w:textAlignment w:val="auto"/>
        <w:rPr>
          <w:rFonts w:ascii="楷体" w:hAnsi="楷体" w:eastAsia="楷体" w:cs="Times New Roman"/>
          <w:bCs w:val="0"/>
          <w:color w:val="auto"/>
          <w:sz w:val="32"/>
        </w:rPr>
      </w:pPr>
      <w:r>
        <w:rPr>
          <w:rFonts w:hint="eastAsia" w:ascii="楷体" w:hAnsi="楷体" w:eastAsia="楷体" w:cs="Times New Roman"/>
          <w:bCs w:val="0"/>
          <w:color w:val="auto"/>
          <w:sz w:val="32"/>
        </w:rPr>
        <w:t>（三）产出指标完成情况分析</w:t>
      </w:r>
    </w:p>
    <w:p>
      <w:pPr>
        <w:pageBreakBefore w:val="0"/>
        <w:widowControl w:val="0"/>
        <w:kinsoku/>
        <w:wordWrap/>
        <w:overflowPunct/>
        <w:topLinePunct w:val="0"/>
        <w:autoSpaceDE/>
        <w:autoSpaceDN/>
        <w:bidi w:val="0"/>
        <w:adjustRightInd/>
        <w:snapToGrid/>
        <w:spacing w:line="560" w:lineRule="exact"/>
        <w:ind w:firstLine="640"/>
        <w:textAlignment w:val="auto"/>
        <w:rPr>
          <w:rFonts w:hint="eastAsia" w:cs="Times New Roman"/>
          <w:color w:val="auto"/>
          <w:sz w:val="32"/>
          <w:szCs w:val="32"/>
        </w:rPr>
      </w:pPr>
      <w:r>
        <w:rPr>
          <w:rFonts w:hint="eastAsia" w:cs="Times New Roman"/>
          <w:color w:val="auto"/>
          <w:sz w:val="32"/>
          <w:szCs w:val="32"/>
        </w:rPr>
        <w:t>1.项目数量指标</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a、重点中型灌区节水配套改造（个），年度目标开展1个，实际完成1个。</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b、水土流失综合治理（平方公里），年度目标15平方公里，完成目标15平方公里。</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c、最严格水资源管理制度考核（个），年度目标1个县，完成1个县的水资源保护与保护。</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d、山洪灾害防治非工程措施（个），年度目标1个县，完成1个县山洪灾害防治非工程措施。</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e、农村饮水工程维修养护数量（处），年度目标121处，实际完成121处。</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f、小型水库工程设施维修养护（座），年度目标34座，实际完成34座水库。</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highlight w:val="none"/>
          <w:lang w:val="en-US" w:eastAsia="zh-CN"/>
        </w:rPr>
        <w:t>g、山洪灾害防治非工程措施设施维修养护县数（个），年度目标1个，完成目标1个。</w:t>
      </w:r>
      <w:r>
        <w:rPr>
          <w:rFonts w:hint="eastAsia" w:ascii="仿宋" w:hAnsi="仿宋" w:eastAsia="仿宋" w:cs="仿宋"/>
          <w:color w:val="auto"/>
          <w:sz w:val="30"/>
          <w:szCs w:val="30"/>
          <w:lang w:val="en-US" w:eastAsia="zh-CN"/>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 xml:space="preserve">i、农业水价综合改革面积（万亩），年度目标1万亩，完成目标1万亩。                    </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2、项目质量指标</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2019年安排有中央水利发展资金的项目，全部完成了竣工验收（合同完工或分部验收），验收率100%，</w:t>
      </w:r>
      <w:r>
        <w:rPr>
          <w:rFonts w:hint="eastAsia" w:ascii="仿宋" w:hAnsi="仿宋" w:eastAsia="仿宋" w:cs="仿宋"/>
          <w:color w:val="auto"/>
          <w:sz w:val="30"/>
          <w:szCs w:val="30"/>
          <w:highlight w:val="none"/>
          <w:lang w:val="en-US" w:eastAsia="zh-CN"/>
        </w:rPr>
        <w:t>9</w:t>
      </w:r>
      <w:r>
        <w:rPr>
          <w:rFonts w:hint="eastAsia" w:ascii="仿宋" w:hAnsi="仿宋" w:eastAsia="仿宋" w:cs="仿宋"/>
          <w:color w:val="auto"/>
          <w:sz w:val="30"/>
          <w:szCs w:val="30"/>
          <w:lang w:val="en-US" w:eastAsia="zh-CN"/>
        </w:rPr>
        <w:t>个项目全部验收合格。已建工程不存在质量问题等。</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3、项目时效指标</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00"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我县2019年度中央财政水利发展资金项目全部开工建设，并于2020年6月底全面完成年度投资计划，投资完成比例100%；验收率100%。</w:t>
      </w:r>
    </w:p>
    <w:tbl>
      <w:tblPr>
        <w:tblStyle w:val="7"/>
        <w:tblpPr w:leftFromText="180" w:rightFromText="180" w:vertAnchor="text" w:horzAnchor="page" w:tblpX="2028" w:tblpY="729"/>
        <w:tblOverlap w:val="never"/>
        <w:tblW w:w="8318" w:type="dxa"/>
        <w:tblInd w:w="0" w:type="dxa"/>
        <w:tblLayout w:type="fixed"/>
        <w:tblCellMar>
          <w:top w:w="0" w:type="dxa"/>
          <w:left w:w="51" w:type="dxa"/>
          <w:bottom w:w="0" w:type="dxa"/>
          <w:right w:w="51" w:type="dxa"/>
        </w:tblCellMar>
      </w:tblPr>
      <w:tblGrid>
        <w:gridCol w:w="3376"/>
        <w:gridCol w:w="705"/>
        <w:gridCol w:w="705"/>
        <w:gridCol w:w="705"/>
        <w:gridCol w:w="705"/>
        <w:gridCol w:w="712"/>
        <w:gridCol w:w="705"/>
        <w:gridCol w:w="705"/>
      </w:tblGrid>
      <w:tr>
        <w:tblPrEx>
          <w:tblCellMar>
            <w:top w:w="0" w:type="dxa"/>
            <w:left w:w="51" w:type="dxa"/>
            <w:bottom w:w="0" w:type="dxa"/>
            <w:right w:w="51" w:type="dxa"/>
          </w:tblCellMar>
        </w:tblPrEx>
        <w:trPr>
          <w:trHeight w:val="355" w:hRule="atLeast"/>
          <w:tblHeader/>
        </w:trPr>
        <w:tc>
          <w:tcPr>
            <w:tcW w:w="337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分  类</w:t>
            </w:r>
          </w:p>
        </w:tc>
        <w:tc>
          <w:tcPr>
            <w:tcW w:w="3532" w:type="dxa"/>
            <w:gridSpan w:val="5"/>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实施项目数（个）</w:t>
            </w:r>
          </w:p>
        </w:tc>
        <w:tc>
          <w:tcPr>
            <w:tcW w:w="705"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项目完工率（%）</w:t>
            </w:r>
          </w:p>
        </w:tc>
        <w:tc>
          <w:tcPr>
            <w:tcW w:w="705"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项目验收率（%）</w:t>
            </w:r>
          </w:p>
        </w:tc>
      </w:tr>
      <w:tr>
        <w:tblPrEx>
          <w:tblCellMar>
            <w:top w:w="0" w:type="dxa"/>
            <w:left w:w="51" w:type="dxa"/>
            <w:bottom w:w="0" w:type="dxa"/>
            <w:right w:w="51" w:type="dxa"/>
          </w:tblCellMar>
        </w:tblPrEx>
        <w:trPr>
          <w:trHeight w:val="970" w:hRule="atLeast"/>
          <w:tblHeader/>
        </w:trPr>
        <w:tc>
          <w:tcPr>
            <w:tcW w:w="3376" w:type="dxa"/>
            <w:vMerge w:val="continue"/>
            <w:tcBorders>
              <w:top w:val="single" w:color="auto" w:sz="4" w:space="0"/>
              <w:left w:val="single" w:color="auto" w:sz="4" w:space="0"/>
              <w:bottom w:val="single" w:color="auto" w:sz="4" w:space="0"/>
              <w:right w:val="single" w:color="auto" w:sz="4" w:space="0"/>
            </w:tcBorders>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p>
        </w:tc>
        <w:tc>
          <w:tcPr>
            <w:tcW w:w="705"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总数</w:t>
            </w:r>
          </w:p>
        </w:tc>
        <w:tc>
          <w:tcPr>
            <w:tcW w:w="705"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项目</w:t>
            </w:r>
          </w:p>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开工</w:t>
            </w:r>
          </w:p>
        </w:tc>
        <w:tc>
          <w:tcPr>
            <w:tcW w:w="705"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项目</w:t>
            </w:r>
          </w:p>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完工</w:t>
            </w:r>
          </w:p>
        </w:tc>
        <w:tc>
          <w:tcPr>
            <w:tcW w:w="705"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完工</w:t>
            </w:r>
          </w:p>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验收</w:t>
            </w:r>
          </w:p>
        </w:tc>
        <w:tc>
          <w:tcPr>
            <w:tcW w:w="712"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验收</w:t>
            </w:r>
          </w:p>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r>
              <w:rPr>
                <w:rFonts w:hint="eastAsia" w:ascii="仿宋_GB2312" w:cs="Times New Roman"/>
                <w:color w:val="auto"/>
                <w:kern w:val="0"/>
                <w:sz w:val="20"/>
                <w:szCs w:val="20"/>
                <w:highlight w:val="none"/>
              </w:rPr>
              <w:t>合格</w:t>
            </w:r>
          </w:p>
        </w:tc>
        <w:tc>
          <w:tcPr>
            <w:tcW w:w="705" w:type="dxa"/>
            <w:vMerge w:val="continue"/>
            <w:tcBorders>
              <w:top w:val="single" w:color="auto" w:sz="4" w:space="0"/>
              <w:left w:val="single" w:color="auto" w:sz="4" w:space="0"/>
              <w:bottom w:val="single" w:color="000000" w:sz="4" w:space="0"/>
              <w:right w:val="single" w:color="auto" w:sz="4" w:space="0"/>
            </w:tcBorders>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p>
        </w:tc>
        <w:tc>
          <w:tcPr>
            <w:tcW w:w="705" w:type="dxa"/>
            <w:vMerge w:val="continue"/>
            <w:tcBorders>
              <w:top w:val="single" w:color="auto" w:sz="4" w:space="0"/>
              <w:left w:val="single" w:color="auto" w:sz="4" w:space="0"/>
              <w:bottom w:val="single" w:color="000000" w:sz="4" w:space="0"/>
              <w:right w:val="single" w:color="auto" w:sz="4" w:space="0"/>
            </w:tcBorders>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0"/>
                <w:szCs w:val="20"/>
                <w:highlight w:val="none"/>
              </w:rPr>
            </w:pPr>
          </w:p>
        </w:tc>
      </w:tr>
      <w:tr>
        <w:tblPrEx>
          <w:tblCellMar>
            <w:top w:w="0" w:type="dxa"/>
            <w:left w:w="51" w:type="dxa"/>
            <w:bottom w:w="0" w:type="dxa"/>
            <w:right w:w="51" w:type="dxa"/>
          </w:tblCellMar>
        </w:tblPrEx>
        <w:trPr>
          <w:trHeight w:val="379" w:hRule="atLeast"/>
        </w:trPr>
        <w:tc>
          <w:tcPr>
            <w:tcW w:w="33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ascii="仿宋_GB2312" w:cs="Times New Roman"/>
                <w:color w:val="auto"/>
                <w:kern w:val="0"/>
                <w:sz w:val="20"/>
                <w:szCs w:val="20"/>
                <w:highlight w:val="none"/>
              </w:rPr>
            </w:pPr>
            <w:r>
              <w:rPr>
                <w:rFonts w:hint="eastAsia" w:cs="Times New Roman"/>
                <w:kern w:val="0"/>
                <w:sz w:val="20"/>
                <w:szCs w:val="20"/>
              </w:rPr>
              <w:t>重点中型灌区节水配套改造</w:t>
            </w:r>
          </w:p>
        </w:tc>
        <w:tc>
          <w:tcPr>
            <w:tcW w:w="705"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eastAsia="仿宋_GB2312" w:cs="Times New Roman"/>
                <w:color w:val="auto"/>
                <w:kern w:val="0"/>
                <w:sz w:val="22"/>
                <w:highlight w:val="none"/>
                <w:lang w:val="en-US" w:eastAsia="zh-CN"/>
              </w:rPr>
            </w:pPr>
            <w:r>
              <w:rPr>
                <w:rFonts w:hint="eastAsia" w:ascii="仿宋_GB2312" w:cs="Times New Roman"/>
                <w:color w:val="auto"/>
                <w:kern w:val="0"/>
                <w:sz w:val="22"/>
                <w:highlight w:val="none"/>
                <w:lang w:val="en-US" w:eastAsia="zh-CN"/>
              </w:rPr>
              <w:t>1</w:t>
            </w:r>
          </w:p>
        </w:tc>
        <w:tc>
          <w:tcPr>
            <w:tcW w:w="705"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05"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05"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12"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05"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仿宋_GB2312" w:eastAsia="仿宋_GB2312" w:cs="Times New Roman"/>
                <w:color w:val="auto"/>
                <w:kern w:val="0"/>
                <w:sz w:val="22"/>
                <w:highlight w:val="none"/>
                <w:lang w:val="en-US" w:eastAsia="zh-CN"/>
              </w:rPr>
            </w:pPr>
            <w:r>
              <w:rPr>
                <w:rFonts w:hint="eastAsia" w:ascii="仿宋_GB2312" w:cs="Times New Roman"/>
                <w:color w:val="auto"/>
                <w:kern w:val="0"/>
                <w:sz w:val="22"/>
                <w:highlight w:val="none"/>
                <w:lang w:val="en-US" w:eastAsia="zh-CN"/>
              </w:rPr>
              <w:t>100%</w:t>
            </w:r>
          </w:p>
        </w:tc>
        <w:tc>
          <w:tcPr>
            <w:tcW w:w="705"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仿宋_GB2312" w:cs="Times New Roman"/>
                <w:color w:val="auto"/>
                <w:kern w:val="0"/>
                <w:sz w:val="22"/>
                <w:highlight w:val="none"/>
                <w:lang w:val="en-US"/>
              </w:rPr>
            </w:pPr>
            <w:r>
              <w:rPr>
                <w:rFonts w:hint="eastAsia" w:ascii="仿宋_GB2312" w:cs="Times New Roman"/>
                <w:color w:val="auto"/>
                <w:kern w:val="0"/>
                <w:sz w:val="22"/>
                <w:highlight w:val="none"/>
                <w:lang w:val="en-US" w:eastAsia="zh-CN"/>
              </w:rPr>
              <w:t>100%</w:t>
            </w:r>
          </w:p>
        </w:tc>
      </w:tr>
      <w:tr>
        <w:tblPrEx>
          <w:tblCellMar>
            <w:top w:w="0" w:type="dxa"/>
            <w:left w:w="51" w:type="dxa"/>
            <w:bottom w:w="0" w:type="dxa"/>
            <w:right w:w="51" w:type="dxa"/>
          </w:tblCellMar>
        </w:tblPrEx>
        <w:trPr>
          <w:trHeight w:val="379" w:hRule="atLeast"/>
        </w:trPr>
        <w:tc>
          <w:tcPr>
            <w:tcW w:w="33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ascii="仿宋_GB2312" w:cs="Times New Roman"/>
                <w:color w:val="auto"/>
                <w:kern w:val="0"/>
                <w:sz w:val="20"/>
                <w:szCs w:val="20"/>
                <w:highlight w:val="none"/>
              </w:rPr>
            </w:pPr>
            <w:r>
              <w:rPr>
                <w:rFonts w:hint="eastAsia" w:cs="Times New Roman"/>
                <w:kern w:val="0"/>
                <w:sz w:val="20"/>
                <w:szCs w:val="20"/>
              </w:rPr>
              <w:t>水土流失综合治理</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eastAsia="仿宋_GB2312" w:cs="Times New Roman"/>
                <w:color w:val="auto"/>
                <w:kern w:val="0"/>
                <w:sz w:val="22"/>
                <w:highlight w:val="none"/>
                <w:lang w:val="en-US" w:eastAsia="zh-CN"/>
              </w:rPr>
            </w:pPr>
            <w:r>
              <w:rPr>
                <w:rFonts w:hint="eastAsia" w:ascii="仿宋_GB2312" w:cs="Times New Roman"/>
                <w:color w:val="auto"/>
                <w:kern w:val="0"/>
                <w:sz w:val="22"/>
                <w:highlight w:val="none"/>
                <w:lang w:val="en-US" w:eastAsia="zh-CN"/>
              </w:rPr>
              <w:t>2</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2</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2</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2</w:t>
            </w:r>
          </w:p>
        </w:tc>
        <w:tc>
          <w:tcPr>
            <w:tcW w:w="712"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2</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100%</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100%</w:t>
            </w:r>
          </w:p>
        </w:tc>
      </w:tr>
      <w:tr>
        <w:tblPrEx>
          <w:tblCellMar>
            <w:top w:w="0" w:type="dxa"/>
            <w:left w:w="51" w:type="dxa"/>
            <w:bottom w:w="0" w:type="dxa"/>
            <w:right w:w="51" w:type="dxa"/>
          </w:tblCellMar>
        </w:tblPrEx>
        <w:trPr>
          <w:trHeight w:val="379" w:hRule="atLeast"/>
        </w:trPr>
        <w:tc>
          <w:tcPr>
            <w:tcW w:w="33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ascii="仿宋_GB2312" w:cs="Times New Roman"/>
                <w:color w:val="auto"/>
                <w:kern w:val="0"/>
                <w:sz w:val="20"/>
                <w:szCs w:val="20"/>
                <w:highlight w:val="none"/>
              </w:rPr>
            </w:pPr>
            <w:r>
              <w:rPr>
                <w:rFonts w:hint="eastAsia" w:cs="Times New Roman"/>
                <w:kern w:val="0"/>
                <w:sz w:val="20"/>
                <w:szCs w:val="20"/>
              </w:rPr>
              <w:t>最严格水资源管理制度考核</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eastAsia="仿宋_GB2312" w:cs="Times New Roman"/>
                <w:color w:val="auto"/>
                <w:kern w:val="0"/>
                <w:sz w:val="22"/>
                <w:highlight w:val="none"/>
                <w:lang w:val="en-US" w:eastAsia="zh-CN"/>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12"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100%</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100%</w:t>
            </w:r>
          </w:p>
        </w:tc>
      </w:tr>
      <w:tr>
        <w:tblPrEx>
          <w:tblCellMar>
            <w:top w:w="0" w:type="dxa"/>
            <w:left w:w="51" w:type="dxa"/>
            <w:bottom w:w="0" w:type="dxa"/>
            <w:right w:w="51" w:type="dxa"/>
          </w:tblCellMar>
        </w:tblPrEx>
        <w:trPr>
          <w:trHeight w:val="379" w:hRule="atLeast"/>
        </w:trPr>
        <w:tc>
          <w:tcPr>
            <w:tcW w:w="33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仿宋_GB2312" w:cs="Times New Roman"/>
                <w:color w:val="auto"/>
                <w:kern w:val="0"/>
                <w:sz w:val="20"/>
                <w:szCs w:val="20"/>
                <w:highlight w:val="none"/>
              </w:rPr>
            </w:pPr>
            <w:r>
              <w:rPr>
                <w:rFonts w:hint="eastAsia" w:cs="Times New Roman"/>
                <w:kern w:val="0"/>
                <w:sz w:val="20"/>
                <w:szCs w:val="20"/>
              </w:rPr>
              <w:t>山洪灾害防治非工程措施</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仿宋_GB2312" w:cs="Times New Roman"/>
                <w:color w:val="auto"/>
                <w:kern w:val="0"/>
                <w:sz w:val="22"/>
                <w:highlight w:val="none"/>
                <w:lang w:val="en-US"/>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12"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100%</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100%</w:t>
            </w:r>
          </w:p>
        </w:tc>
      </w:tr>
      <w:tr>
        <w:tblPrEx>
          <w:tblCellMar>
            <w:top w:w="0" w:type="dxa"/>
            <w:left w:w="51" w:type="dxa"/>
            <w:bottom w:w="0" w:type="dxa"/>
            <w:right w:w="51" w:type="dxa"/>
          </w:tblCellMar>
        </w:tblPrEx>
        <w:trPr>
          <w:trHeight w:val="379" w:hRule="atLeast"/>
        </w:trPr>
        <w:tc>
          <w:tcPr>
            <w:tcW w:w="33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仿宋_GB2312" w:cs="Times New Roman"/>
                <w:color w:val="auto"/>
                <w:kern w:val="0"/>
                <w:sz w:val="20"/>
                <w:szCs w:val="20"/>
                <w:highlight w:val="none"/>
              </w:rPr>
            </w:pPr>
            <w:r>
              <w:rPr>
                <w:rFonts w:hint="eastAsia" w:cs="Times New Roman"/>
                <w:kern w:val="0"/>
                <w:sz w:val="20"/>
                <w:szCs w:val="20"/>
              </w:rPr>
              <w:t>农村饮水工程维修养护</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12"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100%</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ascii="仿宋_GB2312" w:cs="Times New Roman"/>
                <w:color w:val="auto"/>
                <w:kern w:val="0"/>
                <w:sz w:val="22"/>
                <w:highlight w:val="none"/>
              </w:rPr>
            </w:pPr>
            <w:r>
              <w:rPr>
                <w:rFonts w:hint="eastAsia" w:ascii="仿宋_GB2312" w:cs="Times New Roman"/>
                <w:color w:val="auto"/>
                <w:kern w:val="0"/>
                <w:sz w:val="22"/>
                <w:highlight w:val="none"/>
                <w:lang w:val="en-US" w:eastAsia="zh-CN"/>
              </w:rPr>
              <w:t>100%</w:t>
            </w:r>
          </w:p>
        </w:tc>
      </w:tr>
      <w:tr>
        <w:tblPrEx>
          <w:tblCellMar>
            <w:top w:w="0" w:type="dxa"/>
            <w:left w:w="51" w:type="dxa"/>
            <w:bottom w:w="0" w:type="dxa"/>
            <w:right w:w="51" w:type="dxa"/>
          </w:tblCellMar>
        </w:tblPrEx>
        <w:trPr>
          <w:trHeight w:val="379" w:hRule="atLeast"/>
        </w:trPr>
        <w:tc>
          <w:tcPr>
            <w:tcW w:w="33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cs="Times New Roman"/>
                <w:color w:val="auto"/>
                <w:kern w:val="0"/>
                <w:sz w:val="20"/>
                <w:szCs w:val="20"/>
                <w:highlight w:val="none"/>
                <w:lang w:eastAsia="zh-CN"/>
              </w:rPr>
            </w:pPr>
            <w:r>
              <w:rPr>
                <w:rFonts w:hint="eastAsia" w:cs="Times New Roman"/>
                <w:kern w:val="0"/>
                <w:sz w:val="20"/>
                <w:szCs w:val="20"/>
              </w:rPr>
              <w:t>小型水库工程设施维修养护</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仿宋_GB2312" w:cs="Times New Roman"/>
                <w:color w:val="auto"/>
                <w:kern w:val="0"/>
                <w:sz w:val="22"/>
                <w:highlight w:val="none"/>
                <w:lang w:val="en-US" w:eastAsia="zh-CN"/>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12"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仿宋_GB2312" w:cs="Times New Roman"/>
                <w:color w:val="auto"/>
                <w:kern w:val="0"/>
                <w:sz w:val="22"/>
                <w:highlight w:val="none"/>
                <w:lang w:val="en-US" w:eastAsia="zh-CN"/>
              </w:rPr>
            </w:pPr>
            <w:r>
              <w:rPr>
                <w:rFonts w:hint="eastAsia" w:ascii="仿宋_GB2312" w:cs="Times New Roman"/>
                <w:color w:val="auto"/>
                <w:kern w:val="0"/>
                <w:sz w:val="22"/>
                <w:highlight w:val="none"/>
                <w:lang w:val="en-US" w:eastAsia="zh-CN"/>
              </w:rPr>
              <w:t>100%</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default" w:ascii="仿宋_GB2312" w:cs="Times New Roman"/>
                <w:color w:val="auto"/>
                <w:kern w:val="0"/>
                <w:sz w:val="22"/>
                <w:highlight w:val="none"/>
                <w:lang w:val="en-US" w:eastAsia="zh-CN"/>
              </w:rPr>
            </w:pPr>
            <w:r>
              <w:rPr>
                <w:rFonts w:hint="eastAsia" w:ascii="仿宋_GB2312" w:cs="Times New Roman"/>
                <w:color w:val="auto"/>
                <w:kern w:val="0"/>
                <w:sz w:val="22"/>
                <w:highlight w:val="none"/>
                <w:lang w:val="en-US" w:eastAsia="zh-CN"/>
              </w:rPr>
              <w:t>100%</w:t>
            </w:r>
          </w:p>
        </w:tc>
      </w:tr>
      <w:tr>
        <w:tblPrEx>
          <w:tblCellMar>
            <w:top w:w="0" w:type="dxa"/>
            <w:left w:w="51" w:type="dxa"/>
            <w:bottom w:w="0" w:type="dxa"/>
            <w:right w:w="51" w:type="dxa"/>
          </w:tblCellMar>
        </w:tblPrEx>
        <w:trPr>
          <w:trHeight w:val="379" w:hRule="atLeast"/>
        </w:trPr>
        <w:tc>
          <w:tcPr>
            <w:tcW w:w="33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cs="Times New Roman"/>
                <w:kern w:val="0"/>
                <w:sz w:val="20"/>
                <w:szCs w:val="20"/>
              </w:rPr>
            </w:pPr>
            <w:r>
              <w:rPr>
                <w:rFonts w:hint="eastAsia" w:cs="Times New Roman"/>
                <w:kern w:val="0"/>
                <w:sz w:val="20"/>
                <w:szCs w:val="20"/>
              </w:rPr>
              <w:t>山洪灾害防治非工程措施设施维修养护</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仿宋_GB2312" w:cs="Times New Roman"/>
                <w:color w:val="auto"/>
                <w:kern w:val="0"/>
                <w:sz w:val="22"/>
                <w:highlight w:val="none"/>
                <w:lang w:val="en-US" w:eastAsia="zh-CN"/>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12"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100%</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100%</w:t>
            </w:r>
          </w:p>
        </w:tc>
      </w:tr>
      <w:tr>
        <w:tblPrEx>
          <w:tblCellMar>
            <w:top w:w="0" w:type="dxa"/>
            <w:left w:w="51" w:type="dxa"/>
            <w:bottom w:w="0" w:type="dxa"/>
            <w:right w:w="51" w:type="dxa"/>
          </w:tblCellMar>
        </w:tblPrEx>
        <w:trPr>
          <w:trHeight w:val="385" w:hRule="atLeast"/>
        </w:trPr>
        <w:tc>
          <w:tcPr>
            <w:tcW w:w="337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cs="Times New Roman"/>
                <w:kern w:val="0"/>
                <w:sz w:val="20"/>
                <w:szCs w:val="20"/>
              </w:rPr>
            </w:pPr>
            <w:r>
              <w:rPr>
                <w:rFonts w:hint="eastAsia" w:cs="Times New Roman"/>
                <w:kern w:val="0"/>
                <w:sz w:val="20"/>
                <w:szCs w:val="20"/>
              </w:rPr>
              <w:t>农业水价综合改革</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仿宋_GB2312" w:cs="Times New Roman"/>
                <w:color w:val="auto"/>
                <w:kern w:val="0"/>
                <w:sz w:val="22"/>
                <w:highlight w:val="none"/>
                <w:lang w:val="en-US" w:eastAsia="zh-CN"/>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12"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100%</w:t>
            </w:r>
          </w:p>
        </w:tc>
        <w:tc>
          <w:tcPr>
            <w:tcW w:w="705"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Times New Roman" w:eastAsia="仿宋_GB2312" w:cs="Times New Roman"/>
                <w:color w:val="auto"/>
                <w:kern w:val="0"/>
                <w:sz w:val="22"/>
                <w:szCs w:val="22"/>
                <w:highlight w:val="none"/>
                <w:lang w:val="en-US" w:eastAsia="zh-CN" w:bidi="ar-SA"/>
              </w:rPr>
            </w:pPr>
            <w:r>
              <w:rPr>
                <w:rFonts w:hint="eastAsia" w:ascii="仿宋_GB2312" w:cs="Times New Roman"/>
                <w:color w:val="auto"/>
                <w:kern w:val="0"/>
                <w:sz w:val="22"/>
                <w:highlight w:val="none"/>
                <w:lang w:val="en-US" w:eastAsia="zh-CN"/>
              </w:rPr>
              <w:t>100%</w:t>
            </w:r>
          </w:p>
        </w:tc>
      </w:tr>
    </w:tbl>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cs="Times New Roman"/>
          <w:color w:val="auto"/>
        </w:rPr>
      </w:pPr>
      <w:r>
        <w:rPr>
          <w:rFonts w:hint="eastAsia" w:cs="Times New Roman"/>
          <w:color w:val="auto"/>
        </w:rPr>
        <w:t>表</w:t>
      </w:r>
      <w:r>
        <w:rPr>
          <w:rFonts w:cs="Times New Roman"/>
          <w:color w:val="auto"/>
        </w:rPr>
        <w:t>3-3  201</w:t>
      </w:r>
      <w:r>
        <w:rPr>
          <w:rFonts w:hint="eastAsia" w:cs="Times New Roman"/>
          <w:color w:val="auto"/>
          <w:lang w:val="en-US" w:eastAsia="zh-CN"/>
        </w:rPr>
        <w:t>9</w:t>
      </w:r>
      <w:r>
        <w:rPr>
          <w:rFonts w:hint="eastAsia" w:cs="Times New Roman"/>
          <w:color w:val="auto"/>
        </w:rPr>
        <w:t>年度水利发展资金项目实施进度情况表（不含整合资金）</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cs="Times New Roman"/>
          <w:color w:val="auto"/>
          <w:sz w:val="32"/>
        </w:rPr>
      </w:pPr>
      <w:r>
        <w:rPr>
          <w:rFonts w:cs="Times New Roman"/>
          <w:color w:val="auto"/>
          <w:sz w:val="32"/>
        </w:rPr>
        <w:t>4</w:t>
      </w:r>
      <w:r>
        <w:rPr>
          <w:rFonts w:hint="eastAsia" w:cs="Times New Roman"/>
          <w:color w:val="auto"/>
          <w:sz w:val="32"/>
        </w:rPr>
        <w:t>.项目成本指标</w:t>
      </w:r>
    </w:p>
    <w:p>
      <w:pPr>
        <w:pageBreakBefore w:val="0"/>
        <w:kinsoku/>
        <w:wordWrap/>
        <w:overflowPunct/>
        <w:topLinePunct w:val="0"/>
        <w:autoSpaceDE/>
        <w:autoSpaceDN/>
        <w:bidi w:val="0"/>
        <w:adjustRightInd/>
        <w:snapToGrid/>
        <w:spacing w:line="580" w:lineRule="exact"/>
        <w:ind w:firstLine="600" w:firstLineChars="200"/>
        <w:textAlignment w:val="auto"/>
        <w:rPr>
          <w:rFonts w:hint="eastAsia" w:ascii="仿宋_GB2312"/>
          <w:color w:val="0000FF"/>
          <w:sz w:val="30"/>
          <w:szCs w:val="30"/>
        </w:rPr>
      </w:pPr>
      <w:r>
        <w:rPr>
          <w:rFonts w:hint="eastAsia" w:ascii="仿宋_GB2312"/>
          <w:color w:val="auto"/>
          <w:sz w:val="30"/>
          <w:szCs w:val="30"/>
        </w:rPr>
        <w:t>我</w:t>
      </w:r>
      <w:r>
        <w:rPr>
          <w:rFonts w:hint="eastAsia" w:ascii="仿宋_GB2312"/>
          <w:color w:val="auto"/>
          <w:sz w:val="30"/>
          <w:szCs w:val="30"/>
          <w:lang w:eastAsia="zh-CN"/>
        </w:rPr>
        <w:t>县</w:t>
      </w:r>
      <w:r>
        <w:rPr>
          <w:rFonts w:hint="eastAsia" w:ascii="仿宋_GB2312"/>
          <w:color w:val="auto"/>
          <w:sz w:val="30"/>
          <w:szCs w:val="30"/>
        </w:rPr>
        <w:t>在</w:t>
      </w:r>
      <w:r>
        <w:rPr>
          <w:rFonts w:ascii="仿宋_GB2312"/>
          <w:color w:val="auto"/>
          <w:sz w:val="30"/>
          <w:szCs w:val="30"/>
        </w:rPr>
        <w:t>项目</w:t>
      </w:r>
      <w:r>
        <w:rPr>
          <w:rFonts w:hint="eastAsia" w:ascii="仿宋_GB2312"/>
          <w:color w:val="auto"/>
          <w:sz w:val="30"/>
          <w:szCs w:val="30"/>
        </w:rPr>
        <w:t>实施过程中</w:t>
      </w:r>
      <w:r>
        <w:rPr>
          <w:rFonts w:hint="eastAsia" w:ascii="仿宋_GB2312"/>
          <w:sz w:val="30"/>
          <w:szCs w:val="30"/>
        </w:rPr>
        <w:t>，严格控制经费支出，每个项目成本均控制在批复概算内。</w:t>
      </w:r>
    </w:p>
    <w:p>
      <w:pPr>
        <w:pStyle w:val="3"/>
        <w:pageBreakBefore w:val="0"/>
        <w:widowControl w:val="0"/>
        <w:kinsoku/>
        <w:wordWrap/>
        <w:overflowPunct/>
        <w:topLinePunct w:val="0"/>
        <w:autoSpaceDE/>
        <w:autoSpaceDN/>
        <w:bidi w:val="0"/>
        <w:adjustRightInd/>
        <w:snapToGrid/>
        <w:spacing w:line="580" w:lineRule="exact"/>
        <w:ind w:firstLine="640"/>
        <w:textAlignment w:val="auto"/>
        <w:rPr>
          <w:rFonts w:ascii="楷体" w:hAnsi="楷体" w:eastAsia="楷体" w:cs="Times New Roman"/>
          <w:bCs w:val="0"/>
          <w:color w:val="auto"/>
          <w:sz w:val="32"/>
        </w:rPr>
      </w:pPr>
      <w:r>
        <w:rPr>
          <w:rFonts w:hint="eastAsia" w:ascii="楷体" w:hAnsi="楷体" w:eastAsia="楷体" w:cs="Times New Roman"/>
          <w:bCs w:val="0"/>
          <w:color w:val="auto"/>
          <w:sz w:val="32"/>
        </w:rPr>
        <w:t>（四）效益指标完成情况分析</w:t>
      </w:r>
    </w:p>
    <w:p>
      <w:pPr>
        <w:pageBreakBefore w:val="0"/>
        <w:widowControl w:val="0"/>
        <w:numPr>
          <w:ilvl w:val="0"/>
          <w:numId w:val="3"/>
        </w:numPr>
        <w:kinsoku/>
        <w:wordWrap/>
        <w:overflowPunct/>
        <w:topLinePunct w:val="0"/>
        <w:autoSpaceDE/>
        <w:autoSpaceDN/>
        <w:bidi w:val="0"/>
        <w:adjustRightInd/>
        <w:snapToGrid/>
        <w:spacing w:line="580" w:lineRule="exact"/>
        <w:ind w:firstLine="640"/>
        <w:textAlignment w:val="auto"/>
        <w:rPr>
          <w:rFonts w:hint="eastAsia" w:cs="Times New Roman"/>
          <w:color w:val="auto"/>
          <w:sz w:val="32"/>
        </w:rPr>
      </w:pPr>
      <w:r>
        <w:rPr>
          <w:rFonts w:hint="eastAsia" w:cs="Times New Roman"/>
          <w:color w:val="auto"/>
          <w:sz w:val="32"/>
        </w:rPr>
        <w:t>项目实施的经济效益分析</w:t>
      </w:r>
    </w:p>
    <w:p>
      <w:pPr>
        <w:pageBreakBefore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color w:val="auto"/>
          <w:sz w:val="30"/>
          <w:szCs w:val="30"/>
          <w:highlight w:val="none"/>
        </w:rPr>
      </w:pPr>
      <w:r>
        <w:rPr>
          <w:rFonts w:hint="eastAsia" w:ascii="仿宋_GB2312" w:hAnsi="Times New Roman"/>
          <w:color w:val="auto"/>
          <w:sz w:val="30"/>
          <w:szCs w:val="30"/>
          <w:highlight w:val="none"/>
        </w:rPr>
        <w:t>水土保持工程建设项目的实施，可有效保障防护区内人民生命和财产安全，改善项目区经济发展环境，提升</w:t>
      </w:r>
      <w:r>
        <w:rPr>
          <w:rFonts w:hint="eastAsia" w:ascii="仿宋_GB2312" w:hAnsi="Times New Roman"/>
          <w:color w:val="auto"/>
          <w:sz w:val="30"/>
          <w:szCs w:val="30"/>
          <w:highlight w:val="none"/>
          <w:lang w:eastAsia="zh-CN"/>
        </w:rPr>
        <w:t>生态环境；</w:t>
      </w:r>
      <w:r>
        <w:rPr>
          <w:rFonts w:hint="eastAsia" w:ascii="仿宋_GB2312" w:hAnsi="Times New Roman"/>
          <w:color w:val="auto"/>
          <w:sz w:val="30"/>
          <w:szCs w:val="30"/>
          <w:highlight w:val="none"/>
        </w:rPr>
        <w:t>山洪灾害防治项目可将项目区内因山洪灾害造成的经济损失降至最低</w:t>
      </w:r>
      <w:r>
        <w:rPr>
          <w:rFonts w:hint="eastAsia" w:ascii="仿宋_GB2312" w:hAnsi="Times New Roman"/>
          <w:color w:val="auto"/>
          <w:sz w:val="30"/>
          <w:szCs w:val="30"/>
          <w:highlight w:val="none"/>
          <w:lang w:eastAsia="zh-CN"/>
        </w:rPr>
        <w:t>；小型水库工程设施维修养护</w:t>
      </w:r>
      <w:r>
        <w:rPr>
          <w:rFonts w:hint="eastAsia" w:ascii="仿宋_GB2312" w:hAnsi="Times New Roman"/>
          <w:color w:val="auto"/>
          <w:sz w:val="30"/>
          <w:szCs w:val="30"/>
          <w:highlight w:val="none"/>
        </w:rPr>
        <w:t>可使已建水利项目发挥灌溉、供水、防洪等应有的效益</w:t>
      </w:r>
      <w:r>
        <w:rPr>
          <w:rFonts w:hint="eastAsia" w:ascii="仿宋_GB2312"/>
          <w:color w:val="auto"/>
          <w:sz w:val="30"/>
          <w:szCs w:val="30"/>
          <w:highlight w:val="none"/>
          <w:lang w:eastAsia="zh-CN"/>
        </w:rPr>
        <w:t>，重点中型灌区节水配套改造改善灌溉面积，</w:t>
      </w:r>
      <w:r>
        <w:rPr>
          <w:rFonts w:hint="eastAsia" w:ascii="仿宋_GB2312" w:hAnsi="Times New Roman"/>
          <w:color w:val="auto"/>
          <w:sz w:val="30"/>
          <w:szCs w:val="30"/>
          <w:highlight w:val="none"/>
          <w:lang w:val="en-US" w:eastAsia="zh-CN"/>
        </w:rPr>
        <w:t>。</w:t>
      </w:r>
    </w:p>
    <w:p>
      <w:pPr>
        <w:pageBreakBefore w:val="0"/>
        <w:widowControl w:val="0"/>
        <w:numPr>
          <w:ilvl w:val="0"/>
          <w:numId w:val="3"/>
        </w:numPr>
        <w:kinsoku/>
        <w:wordWrap/>
        <w:overflowPunct/>
        <w:topLinePunct w:val="0"/>
        <w:autoSpaceDE/>
        <w:autoSpaceDN/>
        <w:bidi w:val="0"/>
        <w:adjustRightInd/>
        <w:snapToGrid/>
        <w:spacing w:line="580" w:lineRule="exact"/>
        <w:ind w:left="0" w:leftChars="0" w:firstLine="640" w:firstLineChars="200"/>
        <w:textAlignment w:val="auto"/>
        <w:rPr>
          <w:rFonts w:hint="eastAsia" w:cs="Times New Roman"/>
          <w:color w:val="auto"/>
          <w:sz w:val="32"/>
        </w:rPr>
      </w:pPr>
      <w:r>
        <w:rPr>
          <w:rFonts w:hint="eastAsia" w:cs="Times New Roman"/>
          <w:color w:val="auto"/>
          <w:sz w:val="32"/>
        </w:rPr>
        <w:t>项目实施的社会效益分析</w:t>
      </w:r>
    </w:p>
    <w:p>
      <w:pPr>
        <w:pageBreakBefore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color w:val="auto"/>
          <w:sz w:val="30"/>
          <w:szCs w:val="30"/>
          <w:highlight w:val="none"/>
        </w:rPr>
      </w:pPr>
      <w:r>
        <w:rPr>
          <w:rFonts w:hint="eastAsia" w:ascii="仿宋_GB2312" w:hAnsi="Times New Roman"/>
          <w:color w:val="auto"/>
          <w:sz w:val="30"/>
          <w:szCs w:val="30"/>
          <w:highlight w:val="none"/>
        </w:rPr>
        <w:t>水土保持工程建设实施后，为保护区内人民群众营造更好的生产生活条件，在为当地的农业和经济发展保驾护航的同时，也对我</w:t>
      </w:r>
      <w:r>
        <w:rPr>
          <w:rFonts w:hint="eastAsia" w:ascii="仿宋_GB2312" w:hAnsi="Times New Roman"/>
          <w:color w:val="auto"/>
          <w:sz w:val="30"/>
          <w:szCs w:val="30"/>
          <w:highlight w:val="none"/>
          <w:lang w:eastAsia="zh-CN"/>
        </w:rPr>
        <w:t>县</w:t>
      </w:r>
      <w:r>
        <w:rPr>
          <w:rFonts w:hint="eastAsia" w:ascii="仿宋_GB2312" w:hAnsi="Times New Roman"/>
          <w:color w:val="auto"/>
          <w:sz w:val="30"/>
          <w:szCs w:val="30"/>
          <w:highlight w:val="none"/>
        </w:rPr>
        <w:t>社会稳定直到了积极的推动作用</w:t>
      </w:r>
      <w:r>
        <w:rPr>
          <w:rFonts w:hint="eastAsia" w:ascii="仿宋_GB2312" w:hAnsi="Times New Roman"/>
          <w:color w:val="auto"/>
          <w:sz w:val="30"/>
          <w:szCs w:val="30"/>
          <w:highlight w:val="none"/>
          <w:lang w:val="en-US" w:eastAsia="zh-CN"/>
        </w:rPr>
        <w:t>。</w:t>
      </w:r>
    </w:p>
    <w:p>
      <w:pPr>
        <w:pageBreakBefore w:val="0"/>
        <w:widowControl w:val="0"/>
        <w:numPr>
          <w:ilvl w:val="0"/>
          <w:numId w:val="3"/>
        </w:numPr>
        <w:kinsoku/>
        <w:wordWrap/>
        <w:overflowPunct/>
        <w:topLinePunct w:val="0"/>
        <w:autoSpaceDE/>
        <w:autoSpaceDN/>
        <w:bidi w:val="0"/>
        <w:adjustRightInd/>
        <w:snapToGrid/>
        <w:spacing w:line="580" w:lineRule="exact"/>
        <w:ind w:left="0" w:leftChars="0" w:firstLine="640" w:firstLineChars="200"/>
        <w:textAlignment w:val="auto"/>
        <w:rPr>
          <w:rFonts w:hint="eastAsia" w:cs="Times New Roman"/>
          <w:color w:val="auto"/>
          <w:sz w:val="32"/>
        </w:rPr>
      </w:pPr>
      <w:r>
        <w:rPr>
          <w:rFonts w:hint="eastAsia" w:cs="Times New Roman"/>
          <w:color w:val="auto"/>
          <w:sz w:val="32"/>
        </w:rPr>
        <w:t>项目实施的生态效益分析</w:t>
      </w:r>
    </w:p>
    <w:p>
      <w:pPr>
        <w:pageBreakBefore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color w:val="auto"/>
          <w:sz w:val="30"/>
          <w:szCs w:val="30"/>
          <w:highlight w:val="none"/>
        </w:rPr>
      </w:pPr>
      <w:r>
        <w:rPr>
          <w:rFonts w:hint="eastAsia" w:ascii="仿宋_GB2312" w:hAnsi="Times New Roman"/>
          <w:color w:val="auto"/>
          <w:sz w:val="30"/>
          <w:szCs w:val="30"/>
          <w:highlight w:val="none"/>
        </w:rPr>
        <w:t>随着水土保持工程建设项目设计理念的不断提升，</w:t>
      </w:r>
      <w:r>
        <w:rPr>
          <w:rFonts w:hint="eastAsia" w:ascii="仿宋_GB2312"/>
          <w:color w:val="auto"/>
          <w:sz w:val="30"/>
          <w:szCs w:val="30"/>
          <w:highlight w:val="none"/>
          <w:lang w:eastAsia="zh-CN"/>
        </w:rPr>
        <w:t>水土流失现象减少，有力保障了项目区内居民的生产生活</w:t>
      </w:r>
      <w:r>
        <w:rPr>
          <w:rFonts w:hint="eastAsia" w:ascii="仿宋_GB2312" w:hAnsi="Times New Roman"/>
          <w:color w:val="auto"/>
          <w:sz w:val="30"/>
          <w:szCs w:val="30"/>
          <w:highlight w:val="none"/>
        </w:rPr>
        <w:t>，对区域内生态环境的恢复与保护也有着积极的意义和作用。</w:t>
      </w:r>
    </w:p>
    <w:p>
      <w:pPr>
        <w:pageBreakBefore w:val="0"/>
        <w:widowControl w:val="0"/>
        <w:numPr>
          <w:ilvl w:val="0"/>
          <w:numId w:val="3"/>
        </w:numPr>
        <w:kinsoku/>
        <w:wordWrap/>
        <w:overflowPunct/>
        <w:topLinePunct w:val="0"/>
        <w:autoSpaceDE/>
        <w:autoSpaceDN/>
        <w:bidi w:val="0"/>
        <w:adjustRightInd/>
        <w:snapToGrid/>
        <w:spacing w:line="580" w:lineRule="exact"/>
        <w:ind w:left="0" w:leftChars="0" w:firstLine="640" w:firstLineChars="200"/>
        <w:textAlignment w:val="auto"/>
        <w:rPr>
          <w:rFonts w:hint="eastAsia" w:cs="Times New Roman"/>
          <w:color w:val="auto"/>
          <w:sz w:val="32"/>
        </w:rPr>
      </w:pPr>
      <w:r>
        <w:rPr>
          <w:rFonts w:hint="eastAsia" w:cs="Times New Roman"/>
          <w:color w:val="auto"/>
          <w:sz w:val="32"/>
        </w:rPr>
        <w:t>项目实施的可持续影响分析</w:t>
      </w:r>
    </w:p>
    <w:p>
      <w:pPr>
        <w:pageBreakBefore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color w:val="auto"/>
          <w:sz w:val="30"/>
          <w:szCs w:val="30"/>
          <w:highlight w:val="none"/>
        </w:rPr>
      </w:pPr>
      <w:r>
        <w:rPr>
          <w:rFonts w:hint="eastAsia" w:ascii="仿宋_GB2312" w:hAnsi="Times New Roman"/>
          <w:color w:val="auto"/>
          <w:sz w:val="30"/>
          <w:szCs w:val="30"/>
          <w:highlight w:val="none"/>
          <w:lang w:eastAsia="zh-CN"/>
        </w:rPr>
        <w:t>已建的水土保持工程建设、山洪灾害防治、重点中型灌区节水配套改造</w:t>
      </w:r>
      <w:r>
        <w:rPr>
          <w:rFonts w:hint="eastAsia" w:ascii="仿宋_GB2312"/>
          <w:color w:val="auto"/>
          <w:sz w:val="30"/>
          <w:szCs w:val="30"/>
          <w:highlight w:val="none"/>
          <w:lang w:eastAsia="zh-CN"/>
        </w:rPr>
        <w:t>、水价综合改革</w:t>
      </w:r>
      <w:r>
        <w:rPr>
          <w:rFonts w:hint="eastAsia" w:ascii="仿宋_GB2312" w:hAnsi="Times New Roman"/>
          <w:color w:val="auto"/>
          <w:sz w:val="30"/>
          <w:szCs w:val="30"/>
          <w:highlight w:val="none"/>
          <w:lang w:eastAsia="zh-CN"/>
        </w:rPr>
        <w:t>运行良好，能充分发挥工程效益，均达到了工程设计使用年限要求。</w:t>
      </w:r>
    </w:p>
    <w:p>
      <w:pPr>
        <w:pStyle w:val="3"/>
        <w:pageBreakBefore w:val="0"/>
        <w:widowControl w:val="0"/>
        <w:kinsoku/>
        <w:wordWrap/>
        <w:overflowPunct/>
        <w:topLinePunct w:val="0"/>
        <w:autoSpaceDE/>
        <w:autoSpaceDN/>
        <w:bidi w:val="0"/>
        <w:adjustRightInd/>
        <w:snapToGrid/>
        <w:spacing w:line="580" w:lineRule="exact"/>
        <w:ind w:firstLine="640"/>
        <w:textAlignment w:val="auto"/>
        <w:rPr>
          <w:rFonts w:ascii="楷体" w:hAnsi="楷体" w:eastAsia="楷体" w:cs="Times New Roman"/>
          <w:bCs w:val="0"/>
          <w:color w:val="auto"/>
          <w:sz w:val="32"/>
        </w:rPr>
      </w:pPr>
      <w:r>
        <w:rPr>
          <w:rFonts w:hint="eastAsia" w:ascii="楷体" w:hAnsi="楷体" w:eastAsia="楷体" w:cs="Times New Roman"/>
          <w:bCs w:val="0"/>
          <w:color w:val="auto"/>
          <w:sz w:val="32"/>
        </w:rPr>
        <w:t>（五）满意度指标完成情况分析</w:t>
      </w:r>
    </w:p>
    <w:p>
      <w:pPr>
        <w:pageBreakBefore w:val="0"/>
        <w:kinsoku/>
        <w:wordWrap/>
        <w:overflowPunct/>
        <w:topLinePunct w:val="0"/>
        <w:autoSpaceDE/>
        <w:autoSpaceDN/>
        <w:bidi w:val="0"/>
        <w:adjustRightInd/>
        <w:snapToGrid/>
        <w:spacing w:line="580" w:lineRule="exact"/>
        <w:ind w:firstLine="600" w:firstLineChars="200"/>
        <w:textAlignment w:val="auto"/>
        <w:rPr>
          <w:rFonts w:cs="Times New Roman"/>
          <w:color w:val="auto"/>
        </w:rPr>
      </w:pPr>
      <w:r>
        <w:rPr>
          <w:rFonts w:hint="eastAsia" w:ascii="仿宋_GB2312" w:hAnsi="Times New Roman"/>
          <w:color w:val="auto"/>
          <w:sz w:val="30"/>
          <w:szCs w:val="30"/>
          <w:lang w:eastAsia="zh-CN"/>
        </w:rPr>
        <w:t>为了解受益群众对项目建设的满意程度，我县水利局以随机发放调查问卷的方式对各类项目进行用户满意度调查。从问卷调查统计结果看，受益群众对201</w:t>
      </w:r>
      <w:r>
        <w:rPr>
          <w:rFonts w:hint="eastAsia" w:ascii="仿宋_GB2312"/>
          <w:color w:val="auto"/>
          <w:sz w:val="30"/>
          <w:szCs w:val="30"/>
          <w:lang w:val="en-US" w:eastAsia="zh-CN"/>
        </w:rPr>
        <w:t>9</w:t>
      </w:r>
      <w:r>
        <w:rPr>
          <w:rFonts w:hint="eastAsia" w:ascii="仿宋_GB2312" w:hAnsi="Times New Roman"/>
          <w:color w:val="auto"/>
          <w:sz w:val="30"/>
          <w:szCs w:val="30"/>
          <w:lang w:eastAsia="zh-CN"/>
        </w:rPr>
        <w:t>年度的水利项目满意度均高于90%。</w:t>
      </w:r>
    </w:p>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rPr>
      </w:pPr>
      <w:r>
        <w:rPr>
          <w:rFonts w:cs="Times New Roman"/>
          <w:color w:val="auto"/>
        </w:rPr>
        <w:t>表3</w:t>
      </w:r>
      <w:r>
        <w:rPr>
          <w:rFonts w:hint="eastAsia" w:cs="Times New Roman"/>
          <w:color w:val="auto"/>
        </w:rPr>
        <w:t>-</w:t>
      </w:r>
      <w:r>
        <w:rPr>
          <w:rFonts w:cs="Times New Roman"/>
          <w:color w:val="auto"/>
        </w:rPr>
        <w:t xml:space="preserve">4 </w:t>
      </w:r>
      <w:r>
        <w:rPr>
          <w:rFonts w:hint="eastAsia" w:cs="Times New Roman"/>
          <w:color w:val="auto"/>
        </w:rPr>
        <w:t>项目实施满意度调查情况汇总表</w:t>
      </w:r>
    </w:p>
    <w:tbl>
      <w:tblPr>
        <w:tblStyle w:val="7"/>
        <w:tblW w:w="8522" w:type="dxa"/>
        <w:tblInd w:w="0" w:type="dxa"/>
        <w:tblLayout w:type="fixed"/>
        <w:tblCellMar>
          <w:top w:w="0" w:type="dxa"/>
          <w:left w:w="108" w:type="dxa"/>
          <w:bottom w:w="0" w:type="dxa"/>
          <w:right w:w="108" w:type="dxa"/>
        </w:tblCellMar>
      </w:tblPr>
      <w:tblGrid>
        <w:gridCol w:w="2337"/>
        <w:gridCol w:w="2609"/>
        <w:gridCol w:w="1998"/>
        <w:gridCol w:w="1578"/>
      </w:tblGrid>
      <w:tr>
        <w:tblPrEx>
          <w:tblCellMar>
            <w:top w:w="0" w:type="dxa"/>
            <w:left w:w="108" w:type="dxa"/>
            <w:bottom w:w="0" w:type="dxa"/>
            <w:right w:w="108" w:type="dxa"/>
          </w:tblCellMar>
        </w:tblPrEx>
        <w:trPr>
          <w:trHeight w:val="480" w:hRule="atLeast"/>
          <w:tblHeader/>
        </w:trPr>
        <w:tc>
          <w:tcPr>
            <w:tcW w:w="2337" w:type="dxa"/>
            <w:tcBorders>
              <w:top w:val="single" w:color="auto" w:sz="4" w:space="0"/>
              <w:left w:val="single" w:color="auto" w:sz="4" w:space="0"/>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0"/>
                <w:szCs w:val="20"/>
              </w:rPr>
            </w:pPr>
            <w:r>
              <w:rPr>
                <w:rFonts w:hint="eastAsia" w:cs="Times New Roman"/>
                <w:color w:val="auto"/>
                <w:kern w:val="0"/>
                <w:sz w:val="20"/>
                <w:szCs w:val="20"/>
              </w:rPr>
              <w:t>项目分类</w:t>
            </w:r>
          </w:p>
        </w:tc>
        <w:tc>
          <w:tcPr>
            <w:tcW w:w="2609"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0"/>
                <w:szCs w:val="20"/>
              </w:rPr>
            </w:pPr>
            <w:r>
              <w:rPr>
                <w:rFonts w:cs="Times New Roman"/>
                <w:color w:val="auto"/>
                <w:kern w:val="0"/>
                <w:sz w:val="20"/>
                <w:szCs w:val="20"/>
              </w:rPr>
              <w:t>调查问卷数（份）</w:t>
            </w:r>
          </w:p>
        </w:tc>
        <w:tc>
          <w:tcPr>
            <w:tcW w:w="1998"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0"/>
                <w:szCs w:val="20"/>
              </w:rPr>
            </w:pPr>
            <w:r>
              <w:rPr>
                <w:rFonts w:cs="Times New Roman"/>
                <w:color w:val="auto"/>
                <w:kern w:val="0"/>
                <w:sz w:val="20"/>
                <w:szCs w:val="20"/>
              </w:rPr>
              <w:t>平均满意度（分）</w:t>
            </w:r>
          </w:p>
        </w:tc>
        <w:tc>
          <w:tcPr>
            <w:tcW w:w="1578"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0"/>
                <w:szCs w:val="20"/>
              </w:rPr>
            </w:pPr>
            <w:r>
              <w:rPr>
                <w:rFonts w:cs="Times New Roman"/>
                <w:color w:val="auto"/>
                <w:kern w:val="0"/>
                <w:sz w:val="20"/>
                <w:szCs w:val="20"/>
              </w:rPr>
              <w:t>备注</w:t>
            </w:r>
          </w:p>
        </w:tc>
      </w:tr>
      <w:tr>
        <w:tblPrEx>
          <w:tblCellMar>
            <w:top w:w="0" w:type="dxa"/>
            <w:left w:w="108" w:type="dxa"/>
            <w:bottom w:w="0" w:type="dxa"/>
            <w:right w:w="108" w:type="dxa"/>
          </w:tblCellMar>
        </w:tblPrEx>
        <w:trPr>
          <w:trHeight w:val="288" w:hRule="atLeast"/>
        </w:trPr>
        <w:tc>
          <w:tcPr>
            <w:tcW w:w="2337" w:type="dxa"/>
            <w:tcBorders>
              <w:top w:val="nil"/>
              <w:left w:val="single" w:color="auto" w:sz="4" w:space="0"/>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0"/>
                <w:szCs w:val="20"/>
              </w:rPr>
            </w:pPr>
            <w:r>
              <w:rPr>
                <w:rFonts w:cs="Times New Roman"/>
                <w:color w:val="auto"/>
                <w:kern w:val="0"/>
                <w:sz w:val="20"/>
                <w:szCs w:val="20"/>
              </w:rPr>
              <w:t>合计</w:t>
            </w:r>
          </w:p>
        </w:tc>
        <w:tc>
          <w:tcPr>
            <w:tcW w:w="2609"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0"/>
                <w:szCs w:val="20"/>
                <w:highlight w:val="none"/>
                <w:lang w:val="en-US" w:eastAsia="zh-CN"/>
              </w:rPr>
            </w:pPr>
            <w:r>
              <w:rPr>
                <w:rFonts w:hint="eastAsia" w:cs="Times New Roman"/>
                <w:color w:val="auto"/>
                <w:kern w:val="0"/>
                <w:sz w:val="20"/>
                <w:szCs w:val="20"/>
                <w:highlight w:val="none"/>
                <w:lang w:val="en-US" w:eastAsia="zh-CN"/>
              </w:rPr>
              <w:t>160</w:t>
            </w:r>
          </w:p>
        </w:tc>
        <w:tc>
          <w:tcPr>
            <w:tcW w:w="1998"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0"/>
                <w:szCs w:val="20"/>
                <w:highlight w:val="none"/>
                <w:lang w:val="en-US" w:eastAsia="zh-CN"/>
              </w:rPr>
            </w:pPr>
            <w:r>
              <w:rPr>
                <w:rFonts w:hint="eastAsia" w:cs="Times New Roman"/>
                <w:color w:val="auto"/>
                <w:kern w:val="0"/>
                <w:sz w:val="20"/>
                <w:szCs w:val="20"/>
                <w:highlight w:val="none"/>
                <w:lang w:val="en-US" w:eastAsia="zh-CN"/>
              </w:rPr>
              <w:t>97</w:t>
            </w:r>
          </w:p>
        </w:tc>
        <w:tc>
          <w:tcPr>
            <w:tcW w:w="1578"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0"/>
                <w:szCs w:val="20"/>
              </w:rPr>
            </w:pPr>
          </w:p>
        </w:tc>
      </w:tr>
      <w:tr>
        <w:tblPrEx>
          <w:tblCellMar>
            <w:top w:w="0" w:type="dxa"/>
            <w:left w:w="108" w:type="dxa"/>
            <w:bottom w:w="0" w:type="dxa"/>
            <w:right w:w="108" w:type="dxa"/>
          </w:tblCellMar>
        </w:tblPrEx>
        <w:trPr>
          <w:trHeight w:val="288" w:hRule="atLeast"/>
        </w:trPr>
        <w:tc>
          <w:tcPr>
            <w:tcW w:w="2337" w:type="dxa"/>
            <w:tcBorders>
              <w:top w:val="nil"/>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ascii="仿宋_GB2312" w:hAnsi="Times New Roman" w:eastAsia="仿宋_GB2312" w:cs="Times New Roman"/>
                <w:color w:val="auto"/>
                <w:kern w:val="0"/>
                <w:sz w:val="20"/>
                <w:szCs w:val="20"/>
                <w:highlight w:val="none"/>
                <w:lang w:val="en-US" w:eastAsia="zh-CN" w:bidi="ar-SA"/>
              </w:rPr>
            </w:pPr>
            <w:r>
              <w:rPr>
                <w:rFonts w:hint="eastAsia" w:cs="Times New Roman"/>
                <w:kern w:val="0"/>
                <w:sz w:val="20"/>
                <w:szCs w:val="20"/>
              </w:rPr>
              <w:t>重点中型灌区节水配套改造</w:t>
            </w:r>
          </w:p>
        </w:tc>
        <w:tc>
          <w:tcPr>
            <w:tcW w:w="2609"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0"/>
                <w:szCs w:val="20"/>
                <w:highlight w:val="none"/>
                <w:lang w:val="en-US" w:eastAsia="zh-CN"/>
              </w:rPr>
            </w:pPr>
            <w:r>
              <w:rPr>
                <w:rFonts w:hint="eastAsia" w:cs="Times New Roman"/>
                <w:color w:val="auto"/>
                <w:kern w:val="0"/>
                <w:sz w:val="20"/>
                <w:szCs w:val="20"/>
                <w:highlight w:val="none"/>
                <w:lang w:val="en-US" w:eastAsia="zh-CN"/>
              </w:rPr>
              <w:t>20</w:t>
            </w:r>
          </w:p>
        </w:tc>
        <w:tc>
          <w:tcPr>
            <w:tcW w:w="1998"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0"/>
                <w:szCs w:val="20"/>
                <w:highlight w:val="none"/>
                <w:lang w:val="en-US" w:eastAsia="zh-CN"/>
              </w:rPr>
            </w:pPr>
            <w:r>
              <w:rPr>
                <w:rFonts w:hint="eastAsia" w:cs="Times New Roman"/>
                <w:color w:val="auto"/>
                <w:kern w:val="0"/>
                <w:sz w:val="20"/>
                <w:szCs w:val="20"/>
                <w:highlight w:val="none"/>
                <w:lang w:val="en-US" w:eastAsia="zh-CN"/>
              </w:rPr>
              <w:t>98</w:t>
            </w:r>
          </w:p>
        </w:tc>
        <w:tc>
          <w:tcPr>
            <w:tcW w:w="1578"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0"/>
                <w:szCs w:val="20"/>
              </w:rPr>
            </w:pPr>
          </w:p>
        </w:tc>
      </w:tr>
      <w:tr>
        <w:tblPrEx>
          <w:tblCellMar>
            <w:top w:w="0" w:type="dxa"/>
            <w:left w:w="108" w:type="dxa"/>
            <w:bottom w:w="0" w:type="dxa"/>
            <w:right w:w="108" w:type="dxa"/>
          </w:tblCellMar>
        </w:tblPrEx>
        <w:trPr>
          <w:trHeight w:val="288" w:hRule="atLeast"/>
        </w:trPr>
        <w:tc>
          <w:tcPr>
            <w:tcW w:w="2337" w:type="dxa"/>
            <w:tcBorders>
              <w:top w:val="nil"/>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ascii="仿宋_GB2312" w:hAnsi="Times New Roman" w:eastAsia="仿宋_GB2312" w:cs="Times New Roman"/>
                <w:color w:val="auto"/>
                <w:kern w:val="0"/>
                <w:sz w:val="20"/>
                <w:szCs w:val="20"/>
                <w:highlight w:val="none"/>
                <w:lang w:val="en-US" w:eastAsia="zh-CN" w:bidi="ar-SA"/>
              </w:rPr>
            </w:pPr>
            <w:r>
              <w:rPr>
                <w:rFonts w:hint="eastAsia" w:cs="Times New Roman"/>
                <w:kern w:val="0"/>
                <w:sz w:val="20"/>
                <w:szCs w:val="20"/>
              </w:rPr>
              <w:t>水土流失综合治理</w:t>
            </w:r>
          </w:p>
        </w:tc>
        <w:tc>
          <w:tcPr>
            <w:tcW w:w="2609"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0"/>
                <w:szCs w:val="20"/>
                <w:highlight w:val="none"/>
                <w:lang w:val="en-US" w:eastAsia="zh-CN"/>
              </w:rPr>
            </w:pPr>
            <w:r>
              <w:rPr>
                <w:rFonts w:hint="eastAsia" w:cs="Times New Roman"/>
                <w:color w:val="auto"/>
                <w:kern w:val="0"/>
                <w:sz w:val="20"/>
                <w:szCs w:val="20"/>
                <w:highlight w:val="none"/>
                <w:lang w:val="en-US" w:eastAsia="zh-CN"/>
              </w:rPr>
              <w:t>20</w:t>
            </w:r>
          </w:p>
        </w:tc>
        <w:tc>
          <w:tcPr>
            <w:tcW w:w="1998"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0"/>
                <w:szCs w:val="20"/>
                <w:highlight w:val="none"/>
                <w:lang w:val="en-US" w:eastAsia="zh-CN"/>
              </w:rPr>
            </w:pPr>
            <w:r>
              <w:rPr>
                <w:rFonts w:hint="eastAsia" w:cs="Times New Roman"/>
                <w:color w:val="auto"/>
                <w:kern w:val="0"/>
                <w:sz w:val="20"/>
                <w:szCs w:val="20"/>
                <w:highlight w:val="none"/>
                <w:lang w:val="en-US" w:eastAsia="zh-CN"/>
              </w:rPr>
              <w:t>97</w:t>
            </w:r>
          </w:p>
        </w:tc>
        <w:tc>
          <w:tcPr>
            <w:tcW w:w="1578"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0"/>
                <w:szCs w:val="20"/>
              </w:rPr>
            </w:pPr>
          </w:p>
        </w:tc>
      </w:tr>
      <w:tr>
        <w:tblPrEx>
          <w:tblCellMar>
            <w:top w:w="0" w:type="dxa"/>
            <w:left w:w="108" w:type="dxa"/>
            <w:bottom w:w="0" w:type="dxa"/>
            <w:right w:w="108" w:type="dxa"/>
          </w:tblCellMar>
        </w:tblPrEx>
        <w:trPr>
          <w:trHeight w:val="288" w:hRule="atLeast"/>
        </w:trPr>
        <w:tc>
          <w:tcPr>
            <w:tcW w:w="2337" w:type="dxa"/>
            <w:tcBorders>
              <w:top w:val="nil"/>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ascii="仿宋_GB2312" w:hAnsi="Times New Roman" w:eastAsia="仿宋_GB2312" w:cs="Times New Roman"/>
                <w:color w:val="auto"/>
                <w:kern w:val="0"/>
                <w:sz w:val="20"/>
                <w:szCs w:val="20"/>
                <w:highlight w:val="none"/>
                <w:lang w:val="en-US" w:eastAsia="zh-CN" w:bidi="ar-SA"/>
              </w:rPr>
            </w:pPr>
            <w:r>
              <w:rPr>
                <w:rFonts w:hint="eastAsia" w:cs="Times New Roman"/>
                <w:kern w:val="0"/>
                <w:sz w:val="20"/>
                <w:szCs w:val="20"/>
              </w:rPr>
              <w:t>最严格水资源管理制度考核</w:t>
            </w:r>
          </w:p>
        </w:tc>
        <w:tc>
          <w:tcPr>
            <w:tcW w:w="2609"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2"/>
                <w:highlight w:val="none"/>
                <w:lang w:val="en-US" w:eastAsia="zh-CN"/>
              </w:rPr>
            </w:pPr>
            <w:r>
              <w:rPr>
                <w:rFonts w:hint="eastAsia" w:cs="Times New Roman"/>
                <w:color w:val="auto"/>
                <w:kern w:val="0"/>
                <w:sz w:val="22"/>
                <w:highlight w:val="none"/>
                <w:lang w:val="en-US" w:eastAsia="zh-CN"/>
              </w:rPr>
              <w:t>20</w:t>
            </w:r>
          </w:p>
        </w:tc>
        <w:tc>
          <w:tcPr>
            <w:tcW w:w="1998"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2"/>
                <w:highlight w:val="none"/>
                <w:lang w:val="en-US" w:eastAsia="zh-CN"/>
              </w:rPr>
            </w:pPr>
            <w:r>
              <w:rPr>
                <w:rFonts w:hint="eastAsia" w:cs="Times New Roman"/>
                <w:color w:val="auto"/>
                <w:kern w:val="0"/>
                <w:sz w:val="22"/>
                <w:highlight w:val="none"/>
                <w:lang w:val="en-US" w:eastAsia="zh-CN"/>
              </w:rPr>
              <w:t>99</w:t>
            </w:r>
          </w:p>
        </w:tc>
        <w:tc>
          <w:tcPr>
            <w:tcW w:w="1578" w:type="dxa"/>
            <w:tcBorders>
              <w:top w:val="nil"/>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2"/>
              </w:rPr>
            </w:pPr>
          </w:p>
        </w:tc>
      </w:tr>
      <w:tr>
        <w:tblPrEx>
          <w:tblCellMar>
            <w:top w:w="0" w:type="dxa"/>
            <w:left w:w="108" w:type="dxa"/>
            <w:bottom w:w="0" w:type="dxa"/>
            <w:right w:w="108" w:type="dxa"/>
          </w:tblCellMar>
        </w:tblPrEx>
        <w:trPr>
          <w:trHeight w:val="288" w:hRule="atLeast"/>
        </w:trPr>
        <w:tc>
          <w:tcPr>
            <w:tcW w:w="233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仿宋_GB2312" w:hAnsi="Times New Roman" w:eastAsia="仿宋_GB2312" w:cs="Times New Roman"/>
                <w:color w:val="auto"/>
                <w:kern w:val="0"/>
                <w:sz w:val="20"/>
                <w:szCs w:val="20"/>
                <w:highlight w:val="none"/>
                <w:lang w:val="en-US" w:eastAsia="zh-CN" w:bidi="ar-SA"/>
              </w:rPr>
            </w:pPr>
            <w:r>
              <w:rPr>
                <w:rFonts w:hint="eastAsia" w:cs="Times New Roman"/>
                <w:kern w:val="0"/>
                <w:sz w:val="20"/>
                <w:szCs w:val="20"/>
              </w:rPr>
              <w:t>山洪灾害防治非工程措施</w:t>
            </w:r>
          </w:p>
        </w:tc>
        <w:tc>
          <w:tcPr>
            <w:tcW w:w="2609"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2"/>
                <w:highlight w:val="none"/>
                <w:lang w:val="en-US" w:eastAsia="zh-CN"/>
              </w:rPr>
            </w:pPr>
            <w:r>
              <w:rPr>
                <w:rFonts w:hint="eastAsia" w:cs="Times New Roman"/>
                <w:color w:val="auto"/>
                <w:kern w:val="0"/>
                <w:sz w:val="22"/>
                <w:highlight w:val="none"/>
                <w:lang w:val="en-US" w:eastAsia="zh-CN"/>
              </w:rPr>
              <w:t>20</w:t>
            </w:r>
          </w:p>
        </w:tc>
        <w:tc>
          <w:tcPr>
            <w:tcW w:w="1998"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2"/>
                <w:highlight w:val="none"/>
                <w:lang w:val="en-US" w:eastAsia="zh-CN"/>
              </w:rPr>
            </w:pPr>
            <w:r>
              <w:rPr>
                <w:rFonts w:hint="eastAsia" w:cs="Times New Roman"/>
                <w:color w:val="auto"/>
                <w:kern w:val="0"/>
                <w:sz w:val="22"/>
                <w:highlight w:val="none"/>
                <w:lang w:val="en-US" w:eastAsia="zh-CN"/>
              </w:rPr>
              <w:t>97</w:t>
            </w:r>
          </w:p>
        </w:tc>
        <w:tc>
          <w:tcPr>
            <w:tcW w:w="1578"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2"/>
              </w:rPr>
            </w:pPr>
          </w:p>
        </w:tc>
      </w:tr>
      <w:tr>
        <w:tblPrEx>
          <w:tblCellMar>
            <w:top w:w="0" w:type="dxa"/>
            <w:left w:w="108" w:type="dxa"/>
            <w:bottom w:w="0" w:type="dxa"/>
            <w:right w:w="108" w:type="dxa"/>
          </w:tblCellMar>
        </w:tblPrEx>
        <w:trPr>
          <w:trHeight w:val="288" w:hRule="atLeast"/>
        </w:trPr>
        <w:tc>
          <w:tcPr>
            <w:tcW w:w="233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仿宋_GB2312" w:hAnsi="Times New Roman" w:eastAsia="仿宋_GB2312" w:cs="Times New Roman"/>
                <w:color w:val="auto"/>
                <w:kern w:val="0"/>
                <w:sz w:val="20"/>
                <w:szCs w:val="20"/>
                <w:highlight w:val="none"/>
                <w:lang w:val="en-US" w:eastAsia="zh-CN" w:bidi="ar-SA"/>
              </w:rPr>
            </w:pPr>
            <w:r>
              <w:rPr>
                <w:rFonts w:hint="eastAsia" w:cs="Times New Roman"/>
                <w:kern w:val="0"/>
                <w:sz w:val="20"/>
                <w:szCs w:val="20"/>
              </w:rPr>
              <w:t>农村饮水工程维修养护</w:t>
            </w:r>
          </w:p>
        </w:tc>
        <w:tc>
          <w:tcPr>
            <w:tcW w:w="2609"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2"/>
                <w:highlight w:val="green"/>
                <w:lang w:val="en-US" w:eastAsia="zh-CN"/>
              </w:rPr>
            </w:pPr>
            <w:r>
              <w:rPr>
                <w:rFonts w:hint="eastAsia" w:cs="Times New Roman"/>
                <w:color w:val="auto"/>
                <w:kern w:val="0"/>
                <w:sz w:val="22"/>
                <w:highlight w:val="none"/>
                <w:lang w:val="en-US" w:eastAsia="zh-CN"/>
              </w:rPr>
              <w:t>20</w:t>
            </w:r>
          </w:p>
        </w:tc>
        <w:tc>
          <w:tcPr>
            <w:tcW w:w="1998"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eastAsia="仿宋_GB2312" w:cs="Times New Roman"/>
                <w:color w:val="auto"/>
                <w:kern w:val="0"/>
                <w:sz w:val="22"/>
                <w:highlight w:val="green"/>
                <w:lang w:val="en-US" w:eastAsia="zh-CN"/>
              </w:rPr>
            </w:pPr>
            <w:r>
              <w:rPr>
                <w:rFonts w:hint="eastAsia" w:cs="Times New Roman"/>
                <w:color w:val="auto"/>
                <w:kern w:val="0"/>
                <w:sz w:val="22"/>
                <w:highlight w:val="none"/>
                <w:lang w:val="en-US" w:eastAsia="zh-CN"/>
              </w:rPr>
              <w:t>98</w:t>
            </w:r>
          </w:p>
        </w:tc>
        <w:tc>
          <w:tcPr>
            <w:tcW w:w="1578"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2"/>
              </w:rPr>
            </w:pPr>
          </w:p>
        </w:tc>
      </w:tr>
      <w:tr>
        <w:tblPrEx>
          <w:tblCellMar>
            <w:top w:w="0" w:type="dxa"/>
            <w:left w:w="108" w:type="dxa"/>
            <w:bottom w:w="0" w:type="dxa"/>
            <w:right w:w="108" w:type="dxa"/>
          </w:tblCellMar>
        </w:tblPrEx>
        <w:trPr>
          <w:trHeight w:val="288" w:hRule="atLeast"/>
        </w:trPr>
        <w:tc>
          <w:tcPr>
            <w:tcW w:w="233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仿宋_GB2312" w:cs="Times New Roman"/>
                <w:color w:val="auto"/>
                <w:kern w:val="0"/>
                <w:sz w:val="20"/>
                <w:szCs w:val="20"/>
                <w:highlight w:val="none"/>
                <w:lang w:val="en-US" w:eastAsia="zh-CN" w:bidi="ar-SA"/>
              </w:rPr>
            </w:pPr>
            <w:r>
              <w:rPr>
                <w:rFonts w:hint="eastAsia" w:cs="Times New Roman"/>
                <w:kern w:val="0"/>
                <w:sz w:val="20"/>
                <w:szCs w:val="20"/>
              </w:rPr>
              <w:t>小型水库工程设施维修养护</w:t>
            </w:r>
          </w:p>
        </w:tc>
        <w:tc>
          <w:tcPr>
            <w:tcW w:w="2609"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cs="Times New Roman"/>
                <w:color w:val="auto"/>
                <w:kern w:val="0"/>
                <w:sz w:val="22"/>
                <w:highlight w:val="none"/>
                <w:lang w:val="en-US" w:eastAsia="zh-CN"/>
              </w:rPr>
            </w:pPr>
            <w:r>
              <w:rPr>
                <w:rFonts w:hint="eastAsia" w:cs="Times New Roman"/>
                <w:color w:val="auto"/>
                <w:kern w:val="0"/>
                <w:sz w:val="22"/>
                <w:highlight w:val="none"/>
                <w:lang w:val="en-US" w:eastAsia="zh-CN"/>
              </w:rPr>
              <w:t>20</w:t>
            </w:r>
          </w:p>
        </w:tc>
        <w:tc>
          <w:tcPr>
            <w:tcW w:w="1998"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cs="Times New Roman"/>
                <w:color w:val="auto"/>
                <w:kern w:val="0"/>
                <w:sz w:val="22"/>
                <w:highlight w:val="none"/>
                <w:lang w:val="en-US" w:eastAsia="zh-CN"/>
              </w:rPr>
            </w:pPr>
            <w:r>
              <w:rPr>
                <w:rFonts w:hint="eastAsia" w:cs="Times New Roman"/>
                <w:color w:val="auto"/>
                <w:kern w:val="0"/>
                <w:sz w:val="22"/>
                <w:highlight w:val="none"/>
                <w:lang w:val="en-US" w:eastAsia="zh-CN"/>
              </w:rPr>
              <w:t>96</w:t>
            </w:r>
          </w:p>
        </w:tc>
        <w:tc>
          <w:tcPr>
            <w:tcW w:w="1578"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2"/>
              </w:rPr>
            </w:pPr>
          </w:p>
        </w:tc>
      </w:tr>
      <w:tr>
        <w:tblPrEx>
          <w:tblCellMar>
            <w:top w:w="0" w:type="dxa"/>
            <w:left w:w="108" w:type="dxa"/>
            <w:bottom w:w="0" w:type="dxa"/>
            <w:right w:w="108" w:type="dxa"/>
          </w:tblCellMar>
        </w:tblPrEx>
        <w:trPr>
          <w:trHeight w:val="288" w:hRule="atLeast"/>
        </w:trPr>
        <w:tc>
          <w:tcPr>
            <w:tcW w:w="233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仿宋_GB2312" w:cs="Times New Roman"/>
                <w:kern w:val="0"/>
                <w:sz w:val="20"/>
                <w:szCs w:val="20"/>
                <w:lang w:val="en-US" w:eastAsia="zh-CN" w:bidi="ar-SA"/>
              </w:rPr>
            </w:pPr>
            <w:r>
              <w:rPr>
                <w:rFonts w:hint="eastAsia" w:cs="Times New Roman"/>
                <w:kern w:val="0"/>
                <w:sz w:val="20"/>
                <w:szCs w:val="20"/>
              </w:rPr>
              <w:t>山洪灾害防治非工程措施设施维修养护</w:t>
            </w:r>
          </w:p>
        </w:tc>
        <w:tc>
          <w:tcPr>
            <w:tcW w:w="2609"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cs="Times New Roman"/>
                <w:color w:val="auto"/>
                <w:kern w:val="0"/>
                <w:sz w:val="22"/>
                <w:highlight w:val="none"/>
                <w:lang w:val="en-US" w:eastAsia="zh-CN"/>
              </w:rPr>
            </w:pPr>
            <w:r>
              <w:rPr>
                <w:rFonts w:hint="eastAsia" w:cs="Times New Roman"/>
                <w:color w:val="auto"/>
                <w:kern w:val="0"/>
                <w:sz w:val="22"/>
                <w:highlight w:val="none"/>
                <w:lang w:val="en-US" w:eastAsia="zh-CN"/>
              </w:rPr>
              <w:t>20</w:t>
            </w:r>
          </w:p>
        </w:tc>
        <w:tc>
          <w:tcPr>
            <w:tcW w:w="1998"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cs="Times New Roman"/>
                <w:color w:val="auto"/>
                <w:kern w:val="0"/>
                <w:sz w:val="22"/>
                <w:highlight w:val="none"/>
                <w:lang w:val="en-US" w:eastAsia="zh-CN"/>
              </w:rPr>
            </w:pPr>
            <w:r>
              <w:rPr>
                <w:rFonts w:hint="eastAsia" w:cs="Times New Roman"/>
                <w:color w:val="auto"/>
                <w:kern w:val="0"/>
                <w:sz w:val="22"/>
                <w:highlight w:val="none"/>
                <w:lang w:val="en-US" w:eastAsia="zh-CN"/>
              </w:rPr>
              <w:t>95</w:t>
            </w:r>
          </w:p>
        </w:tc>
        <w:tc>
          <w:tcPr>
            <w:tcW w:w="1578"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2"/>
              </w:rPr>
            </w:pPr>
          </w:p>
        </w:tc>
      </w:tr>
      <w:tr>
        <w:tblPrEx>
          <w:tblCellMar>
            <w:top w:w="0" w:type="dxa"/>
            <w:left w:w="108" w:type="dxa"/>
            <w:bottom w:w="0" w:type="dxa"/>
            <w:right w:w="108" w:type="dxa"/>
          </w:tblCellMar>
        </w:tblPrEx>
        <w:trPr>
          <w:trHeight w:val="288" w:hRule="atLeast"/>
        </w:trPr>
        <w:tc>
          <w:tcPr>
            <w:tcW w:w="233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60" w:lineRule="exact"/>
              <w:ind w:firstLine="0" w:firstLineChars="0"/>
              <w:jc w:val="center"/>
              <w:rPr>
                <w:rFonts w:hint="eastAsia" w:ascii="Times New Roman" w:hAnsi="Times New Roman" w:eastAsia="仿宋_GB2312" w:cs="Times New Roman"/>
                <w:kern w:val="0"/>
                <w:sz w:val="20"/>
                <w:szCs w:val="20"/>
                <w:lang w:val="en-US" w:eastAsia="zh-CN" w:bidi="ar-SA"/>
              </w:rPr>
            </w:pPr>
            <w:r>
              <w:rPr>
                <w:rFonts w:hint="eastAsia" w:cs="Times New Roman"/>
                <w:kern w:val="0"/>
                <w:sz w:val="20"/>
                <w:szCs w:val="20"/>
              </w:rPr>
              <w:t>农业水价综合改革</w:t>
            </w:r>
          </w:p>
        </w:tc>
        <w:tc>
          <w:tcPr>
            <w:tcW w:w="2609"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cs="Times New Roman"/>
                <w:color w:val="auto"/>
                <w:kern w:val="0"/>
                <w:sz w:val="22"/>
                <w:highlight w:val="none"/>
                <w:lang w:val="en-US" w:eastAsia="zh-CN"/>
              </w:rPr>
            </w:pPr>
            <w:r>
              <w:rPr>
                <w:rFonts w:hint="eastAsia" w:cs="Times New Roman"/>
                <w:color w:val="auto"/>
                <w:kern w:val="0"/>
                <w:sz w:val="22"/>
                <w:highlight w:val="none"/>
                <w:lang w:val="en-US" w:eastAsia="zh-CN"/>
              </w:rPr>
              <w:t>20</w:t>
            </w:r>
          </w:p>
        </w:tc>
        <w:tc>
          <w:tcPr>
            <w:tcW w:w="1998"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default" w:cs="Times New Roman"/>
                <w:color w:val="auto"/>
                <w:kern w:val="0"/>
                <w:sz w:val="22"/>
                <w:highlight w:val="none"/>
                <w:lang w:val="en-US" w:eastAsia="zh-CN"/>
              </w:rPr>
            </w:pPr>
            <w:r>
              <w:rPr>
                <w:rFonts w:hint="eastAsia" w:cs="Times New Roman"/>
                <w:color w:val="auto"/>
                <w:kern w:val="0"/>
                <w:sz w:val="22"/>
                <w:highlight w:val="none"/>
                <w:lang w:val="en-US" w:eastAsia="zh-CN"/>
              </w:rPr>
              <w:t>96</w:t>
            </w:r>
          </w:p>
        </w:tc>
        <w:tc>
          <w:tcPr>
            <w:tcW w:w="1578" w:type="dxa"/>
            <w:tcBorders>
              <w:top w:val="single" w:color="auto" w:sz="4" w:space="0"/>
              <w:left w:val="nil"/>
              <w:bottom w:val="single" w:color="auto" w:sz="4" w:space="0"/>
              <w:right w:val="single" w:color="auto" w:sz="4" w:space="0"/>
            </w:tcBorders>
            <w:shd w:val="clear" w:color="auto" w:fill="auto"/>
            <w:vAlign w:val="center"/>
          </w:tcPr>
          <w:p>
            <w:pPr>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cs="Times New Roman"/>
                <w:color w:val="auto"/>
                <w:kern w:val="0"/>
                <w:sz w:val="22"/>
              </w:rPr>
            </w:pPr>
          </w:p>
        </w:tc>
      </w:tr>
    </w:tbl>
    <w:p>
      <w:pPr>
        <w:pStyle w:val="2"/>
        <w:pageBreakBefore w:val="0"/>
        <w:widowControl w:val="0"/>
        <w:numPr>
          <w:ilvl w:val="0"/>
          <w:numId w:val="4"/>
        </w:numPr>
        <w:kinsoku/>
        <w:wordWrap/>
        <w:overflowPunct/>
        <w:topLinePunct w:val="0"/>
        <w:autoSpaceDE/>
        <w:autoSpaceDN/>
        <w:bidi w:val="0"/>
        <w:adjustRightInd/>
        <w:snapToGrid/>
        <w:spacing w:line="580" w:lineRule="exact"/>
        <w:ind w:firstLine="640"/>
        <w:textAlignment w:val="auto"/>
        <w:rPr>
          <w:rFonts w:hint="eastAsia" w:ascii="黑体" w:hAnsi="黑体" w:eastAsia="黑体" w:cs="Times New Roman"/>
          <w:b w:val="0"/>
          <w:bCs w:val="0"/>
          <w:color w:val="auto"/>
          <w:sz w:val="32"/>
          <w:szCs w:val="32"/>
        </w:rPr>
      </w:pPr>
      <w:r>
        <w:rPr>
          <w:rFonts w:hint="eastAsia" w:ascii="黑体" w:hAnsi="黑体" w:eastAsia="黑体" w:cs="Times New Roman"/>
          <w:b w:val="0"/>
          <w:bCs w:val="0"/>
          <w:color w:val="auto"/>
          <w:sz w:val="32"/>
          <w:szCs w:val="32"/>
        </w:rPr>
        <w:t>偏离绩效目标原因和下一步改进措施</w:t>
      </w:r>
    </w:p>
    <w:p>
      <w:pPr>
        <w:pageBreakBefore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color w:val="auto"/>
          <w:sz w:val="30"/>
          <w:szCs w:val="30"/>
          <w:lang w:val="en-US" w:eastAsia="zh-CN"/>
        </w:rPr>
      </w:pPr>
      <w:r>
        <w:rPr>
          <w:rFonts w:hint="eastAsia" w:ascii="仿宋_GB2312" w:hAnsi="Times New Roman"/>
          <w:color w:val="auto"/>
          <w:sz w:val="30"/>
          <w:szCs w:val="30"/>
          <w:lang w:val="en-US" w:eastAsia="zh-CN"/>
        </w:rPr>
        <w:t>我县201</w:t>
      </w:r>
      <w:r>
        <w:rPr>
          <w:rFonts w:hint="eastAsia" w:ascii="仿宋_GB2312"/>
          <w:color w:val="auto"/>
          <w:sz w:val="30"/>
          <w:szCs w:val="30"/>
          <w:lang w:val="en-US" w:eastAsia="zh-CN"/>
        </w:rPr>
        <w:t>9</w:t>
      </w:r>
      <w:r>
        <w:rPr>
          <w:rFonts w:hint="eastAsia" w:ascii="仿宋_GB2312" w:hAnsi="Times New Roman"/>
          <w:color w:val="auto"/>
          <w:sz w:val="30"/>
          <w:szCs w:val="30"/>
          <w:lang w:val="en-US" w:eastAsia="zh-CN"/>
        </w:rPr>
        <w:t>年度中央</w:t>
      </w:r>
      <w:r>
        <w:rPr>
          <w:rFonts w:hint="eastAsia" w:ascii="仿宋_GB2312"/>
          <w:color w:val="auto"/>
          <w:sz w:val="30"/>
          <w:szCs w:val="30"/>
          <w:lang w:val="en-US" w:eastAsia="zh-CN"/>
        </w:rPr>
        <w:t>财政</w:t>
      </w:r>
      <w:r>
        <w:rPr>
          <w:rFonts w:hint="eastAsia" w:ascii="仿宋_GB2312" w:hAnsi="Times New Roman"/>
          <w:color w:val="auto"/>
          <w:sz w:val="30"/>
          <w:szCs w:val="30"/>
          <w:lang w:val="en-US" w:eastAsia="zh-CN"/>
        </w:rPr>
        <w:t>水利发展资金项目绩效目标已在各单位、各部门的顺利配合、协作下完成。</w:t>
      </w:r>
    </w:p>
    <w:p>
      <w:pPr>
        <w:pStyle w:val="2"/>
        <w:pageBreakBefore w:val="0"/>
        <w:widowControl w:val="0"/>
        <w:kinsoku/>
        <w:wordWrap/>
        <w:overflowPunct/>
        <w:topLinePunct w:val="0"/>
        <w:autoSpaceDE/>
        <w:autoSpaceDN/>
        <w:bidi w:val="0"/>
        <w:adjustRightInd/>
        <w:snapToGrid/>
        <w:spacing w:line="580" w:lineRule="exact"/>
        <w:ind w:firstLine="640"/>
        <w:textAlignment w:val="auto"/>
        <w:rPr>
          <w:rFonts w:ascii="黑体" w:hAnsi="黑体" w:eastAsia="黑体" w:cs="Times New Roman"/>
          <w:b w:val="0"/>
          <w:bCs w:val="0"/>
          <w:color w:val="auto"/>
          <w:sz w:val="32"/>
          <w:szCs w:val="32"/>
        </w:rPr>
      </w:pPr>
      <w:r>
        <w:rPr>
          <w:rFonts w:hint="eastAsia" w:ascii="黑体" w:hAnsi="黑体" w:eastAsia="黑体" w:cs="Times New Roman"/>
          <w:b w:val="0"/>
          <w:bCs w:val="0"/>
          <w:color w:val="auto"/>
          <w:sz w:val="32"/>
          <w:szCs w:val="32"/>
        </w:rPr>
        <w:t>五、综合评价结论</w:t>
      </w:r>
    </w:p>
    <w:p>
      <w:pPr>
        <w:pageBreakBefore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color w:val="auto"/>
          <w:sz w:val="30"/>
          <w:szCs w:val="30"/>
          <w:lang w:val="en-US" w:eastAsia="zh-CN"/>
        </w:rPr>
      </w:pPr>
      <w:r>
        <w:rPr>
          <w:rFonts w:hint="eastAsia" w:ascii="仿宋_GB2312" w:hAnsi="Times New Roman"/>
          <w:color w:val="auto"/>
          <w:sz w:val="30"/>
          <w:szCs w:val="30"/>
          <w:lang w:val="en-US" w:eastAsia="zh-CN"/>
        </w:rPr>
        <w:t>我县绩效自评得分为：</w:t>
      </w:r>
      <w:r>
        <w:rPr>
          <w:rFonts w:hint="eastAsia" w:ascii="仿宋_GB2312"/>
          <w:color w:val="auto"/>
          <w:sz w:val="30"/>
          <w:szCs w:val="30"/>
          <w:lang w:val="en-US" w:eastAsia="zh-CN"/>
        </w:rPr>
        <w:t>100</w:t>
      </w:r>
      <w:r>
        <w:rPr>
          <w:rFonts w:hint="eastAsia" w:ascii="仿宋_GB2312" w:hAnsi="Times New Roman"/>
          <w:color w:val="auto"/>
          <w:sz w:val="30"/>
          <w:szCs w:val="30"/>
          <w:lang w:val="en-US" w:eastAsia="zh-CN"/>
        </w:rPr>
        <w:t>分，项目建设严格按相应规章制度执行，201</w:t>
      </w:r>
      <w:r>
        <w:rPr>
          <w:rFonts w:hint="eastAsia" w:ascii="仿宋_GB2312"/>
          <w:color w:val="auto"/>
          <w:sz w:val="30"/>
          <w:szCs w:val="30"/>
          <w:lang w:val="en-US" w:eastAsia="zh-CN"/>
        </w:rPr>
        <w:t>9</w:t>
      </w:r>
      <w:r>
        <w:rPr>
          <w:rFonts w:hint="eastAsia" w:ascii="仿宋_GB2312" w:hAnsi="Times New Roman"/>
          <w:color w:val="auto"/>
          <w:sz w:val="30"/>
          <w:szCs w:val="30"/>
          <w:lang w:val="en-US" w:eastAsia="zh-CN"/>
        </w:rPr>
        <w:t>年度项目绩效目标全部完成；中央</w:t>
      </w:r>
      <w:r>
        <w:rPr>
          <w:rFonts w:hint="eastAsia" w:ascii="仿宋_GB2312"/>
          <w:color w:val="auto"/>
          <w:sz w:val="30"/>
          <w:szCs w:val="30"/>
          <w:lang w:val="en-US" w:eastAsia="zh-CN"/>
        </w:rPr>
        <w:t>财政</w:t>
      </w:r>
      <w:r>
        <w:rPr>
          <w:rFonts w:hint="eastAsia" w:ascii="仿宋_GB2312" w:hAnsi="Times New Roman"/>
          <w:color w:val="auto"/>
          <w:sz w:val="30"/>
          <w:szCs w:val="30"/>
          <w:lang w:val="en-US" w:eastAsia="zh-CN"/>
        </w:rPr>
        <w:t>水利发展资金到位率100%，配套省级资金到位率100%，项目资金完成率100%，资金严格按照中央、省、市县出台的项目资金管理办法，实行专款专用、国库集中支付；项目实施成效按预期充分发挥效益。</w:t>
      </w:r>
    </w:p>
    <w:p>
      <w:pPr>
        <w:pStyle w:val="2"/>
        <w:pageBreakBefore w:val="0"/>
        <w:widowControl w:val="0"/>
        <w:kinsoku/>
        <w:wordWrap/>
        <w:overflowPunct/>
        <w:topLinePunct w:val="0"/>
        <w:autoSpaceDE/>
        <w:autoSpaceDN/>
        <w:bidi w:val="0"/>
        <w:adjustRightInd/>
        <w:snapToGrid/>
        <w:spacing w:line="580" w:lineRule="exact"/>
        <w:ind w:firstLine="640"/>
        <w:textAlignment w:val="auto"/>
        <w:rPr>
          <w:rFonts w:ascii="黑体" w:hAnsi="黑体" w:eastAsia="黑体" w:cs="Times New Roman"/>
          <w:b w:val="0"/>
          <w:bCs w:val="0"/>
          <w:color w:val="auto"/>
          <w:sz w:val="32"/>
          <w:szCs w:val="32"/>
        </w:rPr>
      </w:pPr>
      <w:r>
        <w:rPr>
          <w:rFonts w:hint="eastAsia" w:ascii="黑体" w:hAnsi="黑体" w:eastAsia="黑体" w:cs="Times New Roman"/>
          <w:b w:val="0"/>
          <w:bCs w:val="0"/>
          <w:color w:val="auto"/>
          <w:sz w:val="32"/>
          <w:szCs w:val="32"/>
        </w:rPr>
        <w:t>六、经验、问题和建议</w:t>
      </w:r>
    </w:p>
    <w:p>
      <w:pPr>
        <w:pageBreakBefore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color w:val="auto"/>
          <w:sz w:val="30"/>
          <w:szCs w:val="30"/>
          <w:lang w:val="en-US" w:eastAsia="zh-CN"/>
        </w:rPr>
      </w:pPr>
      <w:r>
        <w:rPr>
          <w:rFonts w:hint="eastAsia" w:ascii="仿宋_GB2312" w:hAnsi="Times New Roman"/>
          <w:color w:val="auto"/>
          <w:sz w:val="30"/>
          <w:szCs w:val="30"/>
          <w:lang w:val="en-US" w:eastAsia="zh-CN"/>
        </w:rPr>
        <w:t>基层水利管理人员专业技术能力相对较弱，对政策理解存在不到位的情况，绩效考核指标又相对较多，指标解释相对较为简单，建议进一步完善绩效评估指标体系，优化评估流程，加强绩效考核体系及相关政策的培训。另外绩效评价时间紧，任务重，难以达到高质量要求。</w:t>
      </w:r>
    </w:p>
    <w:p>
      <w:pPr>
        <w:pStyle w:val="2"/>
        <w:pageBreakBefore w:val="0"/>
        <w:widowControl w:val="0"/>
        <w:kinsoku/>
        <w:wordWrap/>
        <w:overflowPunct/>
        <w:topLinePunct w:val="0"/>
        <w:autoSpaceDE/>
        <w:autoSpaceDN/>
        <w:bidi w:val="0"/>
        <w:adjustRightInd/>
        <w:snapToGrid/>
        <w:spacing w:line="580" w:lineRule="exact"/>
        <w:ind w:firstLine="640"/>
        <w:textAlignment w:val="auto"/>
        <w:rPr>
          <w:rFonts w:ascii="黑体" w:hAnsi="黑体" w:eastAsia="黑体" w:cs="Times New Roman"/>
          <w:b w:val="0"/>
          <w:bCs w:val="0"/>
          <w:color w:val="auto"/>
          <w:sz w:val="32"/>
          <w:szCs w:val="32"/>
        </w:rPr>
      </w:pPr>
      <w:r>
        <w:rPr>
          <w:rFonts w:hint="eastAsia" w:ascii="黑体" w:hAnsi="黑体" w:eastAsia="黑体"/>
          <w:b w:val="0"/>
          <w:bCs w:val="0"/>
          <w:color w:val="auto"/>
          <w:sz w:val="32"/>
          <w:szCs w:val="32"/>
        </w:rPr>
        <w:t>七、</w:t>
      </w:r>
      <w:r>
        <w:rPr>
          <w:rFonts w:hint="eastAsia" w:ascii="黑体" w:hAnsi="黑体" w:eastAsia="黑体" w:cs="Times New Roman"/>
          <w:b w:val="0"/>
          <w:bCs w:val="0"/>
          <w:color w:val="auto"/>
          <w:sz w:val="32"/>
          <w:szCs w:val="32"/>
        </w:rPr>
        <w:t>绩效评价结果拟应用和公开情况</w:t>
      </w:r>
    </w:p>
    <w:p>
      <w:pPr>
        <w:pageBreakBefore w:val="0"/>
        <w:kinsoku/>
        <w:wordWrap/>
        <w:overflowPunct/>
        <w:topLinePunct w:val="0"/>
        <w:autoSpaceDE/>
        <w:autoSpaceDN/>
        <w:bidi w:val="0"/>
        <w:adjustRightInd/>
        <w:snapToGrid/>
        <w:spacing w:line="580" w:lineRule="exact"/>
        <w:ind w:firstLine="600" w:firstLineChars="200"/>
        <w:textAlignment w:val="auto"/>
        <w:rPr>
          <w:rFonts w:hint="eastAsia" w:ascii="仿宋_GB2312" w:hAnsi="Times New Roman"/>
          <w:color w:val="auto"/>
          <w:sz w:val="30"/>
          <w:szCs w:val="30"/>
          <w:lang w:val="en-US" w:eastAsia="zh-CN"/>
        </w:rPr>
      </w:pPr>
      <w:r>
        <w:rPr>
          <w:rFonts w:hint="eastAsia" w:ascii="仿宋_GB2312" w:hAnsi="Times New Roman"/>
          <w:color w:val="auto"/>
          <w:sz w:val="30"/>
          <w:szCs w:val="30"/>
          <w:lang w:val="en-US" w:eastAsia="zh-CN"/>
        </w:rPr>
        <w:t>将绩效评价结果作为年底考核的一项重要依据，并向县级以上财政、水利部门公开。</w:t>
      </w:r>
    </w:p>
    <w:p>
      <w:pPr>
        <w:pStyle w:val="2"/>
        <w:pageBreakBefore w:val="0"/>
        <w:widowControl w:val="0"/>
        <w:kinsoku/>
        <w:wordWrap/>
        <w:overflowPunct/>
        <w:topLinePunct w:val="0"/>
        <w:autoSpaceDE/>
        <w:autoSpaceDN/>
        <w:bidi w:val="0"/>
        <w:adjustRightInd/>
        <w:snapToGrid/>
        <w:spacing w:line="560" w:lineRule="exact"/>
        <w:ind w:firstLine="640"/>
        <w:textAlignment w:val="auto"/>
        <w:rPr>
          <w:rFonts w:ascii="黑体" w:hAnsi="黑体" w:eastAsia="黑体" w:cs="Times New Roman"/>
          <w:b w:val="0"/>
          <w:bCs w:val="0"/>
          <w:color w:val="auto"/>
          <w:sz w:val="32"/>
          <w:szCs w:val="32"/>
        </w:rPr>
      </w:pPr>
      <w:r>
        <w:rPr>
          <w:rFonts w:hint="eastAsia" w:ascii="黑体" w:hAnsi="黑体" w:eastAsia="黑体" w:cs="Times New Roman"/>
          <w:b w:val="0"/>
          <w:bCs w:val="0"/>
          <w:color w:val="auto"/>
          <w:sz w:val="32"/>
          <w:szCs w:val="32"/>
        </w:rPr>
        <w:t>八、其他需说明的问题</w:t>
      </w:r>
    </w:p>
    <w:p>
      <w:pPr>
        <w:pageBreakBefore w:val="0"/>
        <w:widowControl w:val="0"/>
        <w:kinsoku/>
        <w:wordWrap/>
        <w:overflowPunct/>
        <w:topLinePunct w:val="0"/>
        <w:autoSpaceDE/>
        <w:autoSpaceDN/>
        <w:bidi w:val="0"/>
        <w:adjustRightInd/>
        <w:snapToGrid/>
        <w:spacing w:line="560" w:lineRule="exact"/>
        <w:ind w:firstLine="640"/>
        <w:textAlignment w:val="auto"/>
        <w:rPr>
          <w:rFonts w:hint="eastAsia"/>
          <w:color w:val="auto"/>
          <w:sz w:val="32"/>
          <w:szCs w:val="32"/>
        </w:rPr>
      </w:pPr>
      <w:r>
        <w:rPr>
          <w:rFonts w:hint="eastAsia"/>
          <w:color w:val="auto"/>
          <w:sz w:val="32"/>
          <w:szCs w:val="32"/>
          <w:lang w:eastAsia="zh-CN"/>
        </w:rPr>
        <w:t>无</w:t>
      </w:r>
      <w:r>
        <w:rPr>
          <w:rFonts w:hint="eastAsia"/>
          <w:color w:val="auto"/>
          <w:sz w:val="32"/>
          <w:szCs w:val="32"/>
        </w:rPr>
        <w:t>。</w:t>
      </w:r>
    </w:p>
    <w:p>
      <w:pPr>
        <w:pageBreakBefore w:val="0"/>
        <w:widowControl w:val="0"/>
        <w:kinsoku/>
        <w:wordWrap/>
        <w:overflowPunct/>
        <w:topLinePunct w:val="0"/>
        <w:autoSpaceDE/>
        <w:autoSpaceDN/>
        <w:bidi w:val="0"/>
        <w:adjustRightInd/>
        <w:snapToGrid/>
        <w:spacing w:line="560" w:lineRule="exact"/>
        <w:ind w:firstLine="640"/>
        <w:jc w:val="right"/>
        <w:textAlignment w:val="auto"/>
        <w:rPr>
          <w:rFonts w:hint="default" w:eastAsia="仿宋_GB2312"/>
          <w:color w:val="auto"/>
          <w:sz w:val="32"/>
          <w:szCs w:val="32"/>
          <w:lang w:val="en-US" w:eastAsia="zh-CN"/>
        </w:rPr>
      </w:pPr>
      <w:r>
        <w:rPr>
          <w:rFonts w:hint="eastAsia"/>
          <w:color w:val="auto"/>
          <w:sz w:val="32"/>
          <w:szCs w:val="32"/>
          <w:lang w:val="en-US" w:eastAsia="zh-CN"/>
        </w:rPr>
        <w:t>2020年6月29日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850" w:gutter="0"/>
      <w:pgBorders>
        <w:top w:val="none" w:sz="0" w:space="0"/>
        <w:left w:val="none" w:sz="0" w:space="0"/>
        <w:bottom w:val="none" w:sz="0" w:space="0"/>
        <w:right w:val="none" w:sz="0" w:space="0"/>
      </w:pgBorders>
      <w:cols w:space="425" w:num="1"/>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6018206"/>
    </w:sdtPr>
    <w:sdtEndPr>
      <w:rPr>
        <w:rFonts w:cs="Times New Roman"/>
        <w:sz w:val="20"/>
        <w:szCs w:val="20"/>
      </w:rPr>
    </w:sdtEndPr>
    <w:sdtContent>
      <w:p>
        <w:pPr>
          <w:pStyle w:val="5"/>
          <w:ind w:firstLine="0" w:firstLineChars="0"/>
          <w:jc w:val="center"/>
          <w:rPr>
            <w:rFonts w:cs="Times New Roman"/>
            <w:sz w:val="20"/>
            <w:szCs w:val="20"/>
          </w:rPr>
        </w:pPr>
        <w:r>
          <w:rPr>
            <w:rFonts w:cs="Times New Roman"/>
            <w:sz w:val="20"/>
            <w:szCs w:val="20"/>
          </w:rPr>
          <w:fldChar w:fldCharType="begin"/>
        </w:r>
        <w:r>
          <w:rPr>
            <w:rFonts w:cs="Times New Roman"/>
            <w:sz w:val="20"/>
            <w:szCs w:val="20"/>
          </w:rPr>
          <w:instrText xml:space="preserve">PAGE   \* MERGEFORMAT</w:instrText>
        </w:r>
        <w:r>
          <w:rPr>
            <w:rFonts w:cs="Times New Roman"/>
            <w:sz w:val="20"/>
            <w:szCs w:val="20"/>
          </w:rPr>
          <w:fldChar w:fldCharType="separate"/>
        </w:r>
        <w:r>
          <w:rPr>
            <w:rFonts w:cs="Times New Roman"/>
            <w:sz w:val="20"/>
            <w:szCs w:val="20"/>
            <w:lang w:val="zh-CN"/>
          </w:rPr>
          <w:t>1</w:t>
        </w:r>
        <w:r>
          <w:rPr>
            <w:rFonts w:cs="Times New Roman"/>
            <w:sz w:val="20"/>
            <w:szCs w:val="20"/>
          </w:rPr>
          <w:fldChar w:fldCharType="end"/>
        </w:r>
      </w:p>
    </w:sdtContent>
  </w:sdt>
  <w:p>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C020A98"/>
    <w:multiLevelType w:val="singleLevel"/>
    <w:tmpl w:val="9C020A98"/>
    <w:lvl w:ilvl="0" w:tentative="0">
      <w:start w:val="2"/>
      <w:numFmt w:val="decimal"/>
      <w:lvlText w:val="%1."/>
      <w:lvlJc w:val="left"/>
      <w:pPr>
        <w:tabs>
          <w:tab w:val="left" w:pos="312"/>
        </w:tabs>
      </w:pPr>
    </w:lvl>
  </w:abstractNum>
  <w:abstractNum w:abstractNumId="1">
    <w:nsid w:val="F30C2FA4"/>
    <w:multiLevelType w:val="singleLevel"/>
    <w:tmpl w:val="F30C2FA4"/>
    <w:lvl w:ilvl="0" w:tentative="0">
      <w:start w:val="1"/>
      <w:numFmt w:val="decimal"/>
      <w:lvlText w:val="%1."/>
      <w:lvlJc w:val="left"/>
      <w:pPr>
        <w:tabs>
          <w:tab w:val="left" w:pos="312"/>
        </w:tabs>
      </w:pPr>
    </w:lvl>
  </w:abstractNum>
  <w:abstractNum w:abstractNumId="2">
    <w:nsid w:val="6AAD8C45"/>
    <w:multiLevelType w:val="singleLevel"/>
    <w:tmpl w:val="6AAD8C45"/>
    <w:lvl w:ilvl="0" w:tentative="0">
      <w:start w:val="4"/>
      <w:numFmt w:val="chineseCounting"/>
      <w:suff w:val="nothing"/>
      <w:lvlText w:val="%1、"/>
      <w:lvlJc w:val="left"/>
      <w:rPr>
        <w:rFonts w:hint="eastAsia"/>
      </w:rPr>
    </w:lvl>
  </w:abstractNum>
  <w:abstractNum w:abstractNumId="3">
    <w:nsid w:val="77EC42CF"/>
    <w:multiLevelType w:val="singleLevel"/>
    <w:tmpl w:val="77EC42CF"/>
    <w:lvl w:ilvl="0" w:tentative="0">
      <w:start w:val="1"/>
      <w:numFmt w:val="decimal"/>
      <w:suff w:val="nothing"/>
      <w:lvlText w:val="%1、"/>
      <w:lvlJc w:val="left"/>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40"/>
  <w:drawingGridVerticalSpacing w:val="38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A6E08"/>
    <w:rsid w:val="00014CAD"/>
    <w:rsid w:val="000210E8"/>
    <w:rsid w:val="0003365D"/>
    <w:rsid w:val="000346DB"/>
    <w:rsid w:val="00055853"/>
    <w:rsid w:val="000575FB"/>
    <w:rsid w:val="000601F2"/>
    <w:rsid w:val="00064AA3"/>
    <w:rsid w:val="00083AE1"/>
    <w:rsid w:val="00086883"/>
    <w:rsid w:val="00090FC7"/>
    <w:rsid w:val="000C5C46"/>
    <w:rsid w:val="000D2F83"/>
    <w:rsid w:val="000D7AD7"/>
    <w:rsid w:val="000E07DD"/>
    <w:rsid w:val="00140681"/>
    <w:rsid w:val="0015018B"/>
    <w:rsid w:val="001859AF"/>
    <w:rsid w:val="001876C3"/>
    <w:rsid w:val="001A647E"/>
    <w:rsid w:val="001B6CC5"/>
    <w:rsid w:val="001C3C5B"/>
    <w:rsid w:val="00220EF5"/>
    <w:rsid w:val="00240DE9"/>
    <w:rsid w:val="0026291A"/>
    <w:rsid w:val="00286767"/>
    <w:rsid w:val="00293FF6"/>
    <w:rsid w:val="002C2938"/>
    <w:rsid w:val="002C750C"/>
    <w:rsid w:val="002D2F44"/>
    <w:rsid w:val="002D40FB"/>
    <w:rsid w:val="002E0512"/>
    <w:rsid w:val="002E70F3"/>
    <w:rsid w:val="002E76AF"/>
    <w:rsid w:val="002E7D52"/>
    <w:rsid w:val="00317A36"/>
    <w:rsid w:val="0032035E"/>
    <w:rsid w:val="00320AD9"/>
    <w:rsid w:val="00332111"/>
    <w:rsid w:val="00361597"/>
    <w:rsid w:val="003B77D6"/>
    <w:rsid w:val="0046647D"/>
    <w:rsid w:val="0047288E"/>
    <w:rsid w:val="00480286"/>
    <w:rsid w:val="00480D9A"/>
    <w:rsid w:val="004A0BFA"/>
    <w:rsid w:val="004A3DCD"/>
    <w:rsid w:val="004C4609"/>
    <w:rsid w:val="004C51DE"/>
    <w:rsid w:val="00511077"/>
    <w:rsid w:val="00513EA7"/>
    <w:rsid w:val="0051714F"/>
    <w:rsid w:val="00535F81"/>
    <w:rsid w:val="0054672D"/>
    <w:rsid w:val="00550698"/>
    <w:rsid w:val="00550F9D"/>
    <w:rsid w:val="00551F0F"/>
    <w:rsid w:val="00564C56"/>
    <w:rsid w:val="00584ADC"/>
    <w:rsid w:val="00595BED"/>
    <w:rsid w:val="005A3169"/>
    <w:rsid w:val="005B7454"/>
    <w:rsid w:val="005C0223"/>
    <w:rsid w:val="005D1171"/>
    <w:rsid w:val="005D2092"/>
    <w:rsid w:val="005D7D1C"/>
    <w:rsid w:val="005E2791"/>
    <w:rsid w:val="005E6875"/>
    <w:rsid w:val="005F2E5D"/>
    <w:rsid w:val="006201A8"/>
    <w:rsid w:val="00620628"/>
    <w:rsid w:val="0062081A"/>
    <w:rsid w:val="00624AE3"/>
    <w:rsid w:val="0065554D"/>
    <w:rsid w:val="006645D5"/>
    <w:rsid w:val="006866EF"/>
    <w:rsid w:val="006B4EEE"/>
    <w:rsid w:val="006D62D8"/>
    <w:rsid w:val="00720B2B"/>
    <w:rsid w:val="00725800"/>
    <w:rsid w:val="007455E6"/>
    <w:rsid w:val="00745C71"/>
    <w:rsid w:val="007470F9"/>
    <w:rsid w:val="00753B8B"/>
    <w:rsid w:val="00785ED6"/>
    <w:rsid w:val="0079311F"/>
    <w:rsid w:val="007A16CB"/>
    <w:rsid w:val="007B3836"/>
    <w:rsid w:val="007C5238"/>
    <w:rsid w:val="007D55DC"/>
    <w:rsid w:val="007D5885"/>
    <w:rsid w:val="00840BA7"/>
    <w:rsid w:val="008462F8"/>
    <w:rsid w:val="00863BE8"/>
    <w:rsid w:val="008804D7"/>
    <w:rsid w:val="0088423B"/>
    <w:rsid w:val="008907AC"/>
    <w:rsid w:val="008D30D3"/>
    <w:rsid w:val="009227F1"/>
    <w:rsid w:val="00924E67"/>
    <w:rsid w:val="009335F6"/>
    <w:rsid w:val="0097478E"/>
    <w:rsid w:val="00980EEE"/>
    <w:rsid w:val="00996576"/>
    <w:rsid w:val="009A6E08"/>
    <w:rsid w:val="009F3904"/>
    <w:rsid w:val="00A101DB"/>
    <w:rsid w:val="00A23B7E"/>
    <w:rsid w:val="00A23BB8"/>
    <w:rsid w:val="00A3771F"/>
    <w:rsid w:val="00A411D4"/>
    <w:rsid w:val="00A422CA"/>
    <w:rsid w:val="00A6003B"/>
    <w:rsid w:val="00A61DE0"/>
    <w:rsid w:val="00A7406F"/>
    <w:rsid w:val="00A9324C"/>
    <w:rsid w:val="00A95926"/>
    <w:rsid w:val="00AA5432"/>
    <w:rsid w:val="00AD6CF4"/>
    <w:rsid w:val="00AE6DAE"/>
    <w:rsid w:val="00B00FB1"/>
    <w:rsid w:val="00B01FF2"/>
    <w:rsid w:val="00B07DAB"/>
    <w:rsid w:val="00B30377"/>
    <w:rsid w:val="00B33A0E"/>
    <w:rsid w:val="00B37457"/>
    <w:rsid w:val="00B474BB"/>
    <w:rsid w:val="00B97A4A"/>
    <w:rsid w:val="00BA2FDB"/>
    <w:rsid w:val="00BC02B7"/>
    <w:rsid w:val="00BC16B7"/>
    <w:rsid w:val="00BD0B3A"/>
    <w:rsid w:val="00BD3D72"/>
    <w:rsid w:val="00BF3C9D"/>
    <w:rsid w:val="00BF781C"/>
    <w:rsid w:val="00C16307"/>
    <w:rsid w:val="00C168F3"/>
    <w:rsid w:val="00C21900"/>
    <w:rsid w:val="00C570C4"/>
    <w:rsid w:val="00C717FA"/>
    <w:rsid w:val="00C752CF"/>
    <w:rsid w:val="00CA2315"/>
    <w:rsid w:val="00CA635E"/>
    <w:rsid w:val="00CC295C"/>
    <w:rsid w:val="00CD6421"/>
    <w:rsid w:val="00D04052"/>
    <w:rsid w:val="00D1438F"/>
    <w:rsid w:val="00D74B44"/>
    <w:rsid w:val="00D74C86"/>
    <w:rsid w:val="00D81027"/>
    <w:rsid w:val="00D814D9"/>
    <w:rsid w:val="00D85338"/>
    <w:rsid w:val="00D86267"/>
    <w:rsid w:val="00D9111D"/>
    <w:rsid w:val="00D979D1"/>
    <w:rsid w:val="00DC3D04"/>
    <w:rsid w:val="00DD476D"/>
    <w:rsid w:val="00DF0146"/>
    <w:rsid w:val="00DF303A"/>
    <w:rsid w:val="00DF5A11"/>
    <w:rsid w:val="00E016A9"/>
    <w:rsid w:val="00E12F40"/>
    <w:rsid w:val="00E25971"/>
    <w:rsid w:val="00E30EDB"/>
    <w:rsid w:val="00E50A67"/>
    <w:rsid w:val="00E5507C"/>
    <w:rsid w:val="00E661E0"/>
    <w:rsid w:val="00E747D2"/>
    <w:rsid w:val="00E87275"/>
    <w:rsid w:val="00EA099F"/>
    <w:rsid w:val="00EA3DD1"/>
    <w:rsid w:val="00EA7515"/>
    <w:rsid w:val="00EC3DB7"/>
    <w:rsid w:val="00ED1286"/>
    <w:rsid w:val="00F006FB"/>
    <w:rsid w:val="00F010AB"/>
    <w:rsid w:val="00F0409D"/>
    <w:rsid w:val="00F057BF"/>
    <w:rsid w:val="00F10363"/>
    <w:rsid w:val="00F318F4"/>
    <w:rsid w:val="00F5028C"/>
    <w:rsid w:val="00F55D46"/>
    <w:rsid w:val="00F614EB"/>
    <w:rsid w:val="00F91AC7"/>
    <w:rsid w:val="00FB6B63"/>
    <w:rsid w:val="00FC00DB"/>
    <w:rsid w:val="00FC15FE"/>
    <w:rsid w:val="01CE6106"/>
    <w:rsid w:val="035A7E10"/>
    <w:rsid w:val="041E109B"/>
    <w:rsid w:val="05B02095"/>
    <w:rsid w:val="06592EE3"/>
    <w:rsid w:val="06D11CF0"/>
    <w:rsid w:val="088E2FE4"/>
    <w:rsid w:val="09A56CC7"/>
    <w:rsid w:val="0A580C84"/>
    <w:rsid w:val="0A9C257F"/>
    <w:rsid w:val="0BFD40A3"/>
    <w:rsid w:val="0C4A6663"/>
    <w:rsid w:val="0D6410F9"/>
    <w:rsid w:val="0E3F0469"/>
    <w:rsid w:val="0F493B7E"/>
    <w:rsid w:val="12DE5ADB"/>
    <w:rsid w:val="13346885"/>
    <w:rsid w:val="1405798F"/>
    <w:rsid w:val="14283D03"/>
    <w:rsid w:val="146F0A13"/>
    <w:rsid w:val="170019A3"/>
    <w:rsid w:val="179815CB"/>
    <w:rsid w:val="17AC4E24"/>
    <w:rsid w:val="186F65DF"/>
    <w:rsid w:val="1BC140B7"/>
    <w:rsid w:val="1BC95FB3"/>
    <w:rsid w:val="1C734EE2"/>
    <w:rsid w:val="1F0A55F3"/>
    <w:rsid w:val="209B1A28"/>
    <w:rsid w:val="225F007A"/>
    <w:rsid w:val="255C60DC"/>
    <w:rsid w:val="25BA29F8"/>
    <w:rsid w:val="25E25EE0"/>
    <w:rsid w:val="25EF5D1D"/>
    <w:rsid w:val="268E6E80"/>
    <w:rsid w:val="28D167CE"/>
    <w:rsid w:val="2A5112CB"/>
    <w:rsid w:val="2B070A56"/>
    <w:rsid w:val="2B4F6A49"/>
    <w:rsid w:val="2B767633"/>
    <w:rsid w:val="2BBC7D20"/>
    <w:rsid w:val="2BC1173E"/>
    <w:rsid w:val="2D96372D"/>
    <w:rsid w:val="2DFE586F"/>
    <w:rsid w:val="2F2F0613"/>
    <w:rsid w:val="304F2AA4"/>
    <w:rsid w:val="305351AE"/>
    <w:rsid w:val="307D7046"/>
    <w:rsid w:val="309D52EE"/>
    <w:rsid w:val="30DB32EC"/>
    <w:rsid w:val="30E54C12"/>
    <w:rsid w:val="325964E1"/>
    <w:rsid w:val="32FA219A"/>
    <w:rsid w:val="336A51BC"/>
    <w:rsid w:val="35073CF7"/>
    <w:rsid w:val="35DE567B"/>
    <w:rsid w:val="380F49A1"/>
    <w:rsid w:val="382C05D6"/>
    <w:rsid w:val="38726F67"/>
    <w:rsid w:val="38743056"/>
    <w:rsid w:val="391F078D"/>
    <w:rsid w:val="39582F3E"/>
    <w:rsid w:val="39FC0D01"/>
    <w:rsid w:val="3A372751"/>
    <w:rsid w:val="3AAB1131"/>
    <w:rsid w:val="3AAF0730"/>
    <w:rsid w:val="3AC47399"/>
    <w:rsid w:val="3ADA503E"/>
    <w:rsid w:val="3B072C26"/>
    <w:rsid w:val="3C1D2134"/>
    <w:rsid w:val="3C3A085F"/>
    <w:rsid w:val="3D2A0737"/>
    <w:rsid w:val="3E402617"/>
    <w:rsid w:val="40321CA8"/>
    <w:rsid w:val="406174BD"/>
    <w:rsid w:val="40E16540"/>
    <w:rsid w:val="414C7E5B"/>
    <w:rsid w:val="42846BD1"/>
    <w:rsid w:val="43620296"/>
    <w:rsid w:val="43A711B4"/>
    <w:rsid w:val="467C20EB"/>
    <w:rsid w:val="46C20CE5"/>
    <w:rsid w:val="47A648A6"/>
    <w:rsid w:val="49D563DA"/>
    <w:rsid w:val="4AFE0B6D"/>
    <w:rsid w:val="4CF02D96"/>
    <w:rsid w:val="4F2E4B4C"/>
    <w:rsid w:val="4FA463AB"/>
    <w:rsid w:val="53390517"/>
    <w:rsid w:val="54436E17"/>
    <w:rsid w:val="54BC7425"/>
    <w:rsid w:val="54BD6BAF"/>
    <w:rsid w:val="54C06906"/>
    <w:rsid w:val="54CA7817"/>
    <w:rsid w:val="555029B2"/>
    <w:rsid w:val="55C21F77"/>
    <w:rsid w:val="56765A88"/>
    <w:rsid w:val="56CC28DF"/>
    <w:rsid w:val="5986113A"/>
    <w:rsid w:val="59B2642D"/>
    <w:rsid w:val="59D454F5"/>
    <w:rsid w:val="5BDC2199"/>
    <w:rsid w:val="5C567E79"/>
    <w:rsid w:val="5E096CE5"/>
    <w:rsid w:val="5E901CCC"/>
    <w:rsid w:val="5EF81B22"/>
    <w:rsid w:val="5F8A66DB"/>
    <w:rsid w:val="5FED4611"/>
    <w:rsid w:val="61AC7237"/>
    <w:rsid w:val="61CE3E00"/>
    <w:rsid w:val="63856C34"/>
    <w:rsid w:val="64D4469C"/>
    <w:rsid w:val="66BD0AF4"/>
    <w:rsid w:val="66C85B70"/>
    <w:rsid w:val="67AB0CAB"/>
    <w:rsid w:val="686E0917"/>
    <w:rsid w:val="696F1203"/>
    <w:rsid w:val="6B1E5E86"/>
    <w:rsid w:val="6CAE236B"/>
    <w:rsid w:val="6D2B5D1C"/>
    <w:rsid w:val="6E5703DF"/>
    <w:rsid w:val="6F422684"/>
    <w:rsid w:val="739D4632"/>
    <w:rsid w:val="74265F84"/>
    <w:rsid w:val="74D344C4"/>
    <w:rsid w:val="763A16C4"/>
    <w:rsid w:val="76DA5490"/>
    <w:rsid w:val="77FC1E49"/>
    <w:rsid w:val="785E0CE4"/>
    <w:rsid w:val="79BA07BE"/>
    <w:rsid w:val="79C86ECA"/>
    <w:rsid w:val="7B8B0CB3"/>
    <w:rsid w:val="7BCF6E7A"/>
    <w:rsid w:val="7C0123D0"/>
    <w:rsid w:val="7C304724"/>
    <w:rsid w:val="7EB65DAF"/>
    <w:rsid w:val="7FF3449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ind w:firstLine="200" w:firstLineChars="200"/>
      <w:jc w:val="both"/>
    </w:pPr>
    <w:rPr>
      <w:rFonts w:ascii="Times New Roman" w:hAnsi="Times New Roman" w:eastAsia="仿宋_GB2312" w:cstheme="minorBidi"/>
      <w:kern w:val="2"/>
      <w:sz w:val="28"/>
      <w:szCs w:val="22"/>
      <w:lang w:val="en-US" w:eastAsia="zh-CN" w:bidi="ar-SA"/>
    </w:rPr>
  </w:style>
  <w:style w:type="paragraph" w:styleId="2">
    <w:name w:val="heading 1"/>
    <w:basedOn w:val="1"/>
    <w:next w:val="1"/>
    <w:link w:val="11"/>
    <w:qFormat/>
    <w:uiPriority w:val="9"/>
    <w:pPr>
      <w:keepNext/>
      <w:keepLines/>
      <w:outlineLvl w:val="0"/>
    </w:pPr>
    <w:rPr>
      <w:b/>
      <w:bCs/>
      <w:kern w:val="44"/>
      <w:szCs w:val="44"/>
    </w:rPr>
  </w:style>
  <w:style w:type="paragraph" w:styleId="3">
    <w:name w:val="heading 2"/>
    <w:basedOn w:val="1"/>
    <w:next w:val="1"/>
    <w:link w:val="12"/>
    <w:unhideWhenUsed/>
    <w:qFormat/>
    <w:uiPriority w:val="9"/>
    <w:pPr>
      <w:keepNext/>
      <w:keepLines/>
      <w:outlineLvl w:val="1"/>
    </w:pPr>
    <w:rPr>
      <w:rFonts w:cstheme="majorBidi"/>
      <w:bCs/>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3"/>
    <w:unhideWhenUsed/>
    <w:qFormat/>
    <w:uiPriority w:val="99"/>
    <w:pPr>
      <w:spacing w:line="240" w:lineRule="auto"/>
    </w:pPr>
    <w:rPr>
      <w:sz w:val="18"/>
      <w:szCs w:val="18"/>
    </w:rPr>
  </w:style>
  <w:style w:type="paragraph" w:styleId="5">
    <w:name w:val="footer"/>
    <w:basedOn w:val="1"/>
    <w:link w:val="10"/>
    <w:unhideWhenUsed/>
    <w:qFormat/>
    <w:uiPriority w:val="99"/>
    <w:pPr>
      <w:tabs>
        <w:tab w:val="center" w:pos="4153"/>
        <w:tab w:val="right" w:pos="8306"/>
      </w:tabs>
      <w:snapToGrid w:val="0"/>
      <w:jc w:val="left"/>
    </w:pPr>
    <w:rPr>
      <w:sz w:val="18"/>
      <w:szCs w:val="18"/>
    </w:rPr>
  </w:style>
  <w:style w:type="paragraph" w:styleId="6">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qFormat/>
    <w:uiPriority w:val="99"/>
    <w:rPr>
      <w:sz w:val="18"/>
      <w:szCs w:val="18"/>
    </w:rPr>
  </w:style>
  <w:style w:type="character" w:customStyle="1" w:styleId="10">
    <w:name w:val="页脚 Char"/>
    <w:basedOn w:val="8"/>
    <w:link w:val="5"/>
    <w:qFormat/>
    <w:uiPriority w:val="99"/>
    <w:rPr>
      <w:sz w:val="18"/>
      <w:szCs w:val="18"/>
    </w:rPr>
  </w:style>
  <w:style w:type="character" w:customStyle="1" w:styleId="11">
    <w:name w:val="标题 1 Char"/>
    <w:basedOn w:val="8"/>
    <w:link w:val="2"/>
    <w:qFormat/>
    <w:uiPriority w:val="9"/>
    <w:rPr>
      <w:rFonts w:ascii="Times New Roman" w:hAnsi="Times New Roman" w:eastAsia="仿宋_GB2312"/>
      <w:b/>
      <w:bCs/>
      <w:kern w:val="44"/>
      <w:sz w:val="28"/>
      <w:szCs w:val="44"/>
    </w:rPr>
  </w:style>
  <w:style w:type="character" w:customStyle="1" w:styleId="12">
    <w:name w:val="标题 2 Char"/>
    <w:basedOn w:val="8"/>
    <w:link w:val="3"/>
    <w:qFormat/>
    <w:uiPriority w:val="9"/>
    <w:rPr>
      <w:rFonts w:ascii="Times New Roman" w:hAnsi="Times New Roman" w:eastAsia="仿宋_GB2312" w:cstheme="majorBidi"/>
      <w:bCs/>
      <w:sz w:val="28"/>
      <w:szCs w:val="32"/>
    </w:rPr>
  </w:style>
  <w:style w:type="character" w:customStyle="1" w:styleId="13">
    <w:name w:val="批注框文本 Char"/>
    <w:basedOn w:val="8"/>
    <w:link w:val="4"/>
    <w:semiHidden/>
    <w:qFormat/>
    <w:uiPriority w:val="99"/>
    <w:rPr>
      <w:rFonts w:ascii="Times New Roman" w:hAnsi="Times New Roman" w:eastAsia="仿宋_GB2312"/>
      <w:sz w:val="18"/>
      <w:szCs w:val="18"/>
    </w:rPr>
  </w:style>
  <w:style w:type="paragraph" w:customStyle="1" w:styleId="14">
    <w:name w:val="正文1"/>
    <w:basedOn w:val="1"/>
    <w:link w:val="15"/>
    <w:qFormat/>
    <w:uiPriority w:val="0"/>
    <w:pPr>
      <w:widowControl w:val="0"/>
      <w:adjustRightInd w:val="0"/>
      <w:snapToGrid w:val="0"/>
      <w:ind w:firstLine="640"/>
    </w:pPr>
    <w:rPr>
      <w:rFonts w:cs="Times New Roman"/>
      <w:sz w:val="32"/>
      <w:szCs w:val="32"/>
    </w:rPr>
  </w:style>
  <w:style w:type="character" w:customStyle="1" w:styleId="15">
    <w:name w:val="正文1 Char"/>
    <w:basedOn w:val="8"/>
    <w:link w:val="14"/>
    <w:qFormat/>
    <w:uiPriority w:val="0"/>
    <w:rPr>
      <w:rFonts w:ascii="Times New Roman" w:hAnsi="Times New Roman" w:eastAsia="仿宋_GB2312" w:cs="Times New Roman"/>
      <w:sz w:val="32"/>
      <w:szCs w:val="32"/>
    </w:rPr>
  </w:style>
  <w:style w:type="paragraph" w:customStyle="1" w:styleId="16">
    <w:name w:val="表名"/>
    <w:basedOn w:val="1"/>
    <w:link w:val="17"/>
    <w:qFormat/>
    <w:uiPriority w:val="0"/>
    <w:pPr>
      <w:widowControl w:val="0"/>
      <w:adjustRightInd w:val="0"/>
      <w:snapToGrid w:val="0"/>
      <w:spacing w:afterLines="50" w:line="240" w:lineRule="auto"/>
      <w:ind w:firstLine="0" w:firstLineChars="0"/>
    </w:pPr>
    <w:rPr>
      <w:rFonts w:cs="Times New Roman"/>
      <w:b/>
      <w:kern w:val="0"/>
      <w:sz w:val="32"/>
      <w:szCs w:val="32"/>
    </w:rPr>
  </w:style>
  <w:style w:type="character" w:customStyle="1" w:styleId="17">
    <w:name w:val="表名 Char"/>
    <w:basedOn w:val="8"/>
    <w:link w:val="16"/>
    <w:qFormat/>
    <w:uiPriority w:val="0"/>
    <w:rPr>
      <w:rFonts w:ascii="Times New Roman" w:hAnsi="Times New Roman" w:eastAsia="仿宋_GB2312" w:cs="Times New Roman"/>
      <w:b/>
      <w:kern w:val="0"/>
      <w:sz w:val="32"/>
      <w:szCs w:val="32"/>
    </w:rPr>
  </w:style>
  <w:style w:type="paragraph" w:customStyle="1" w:styleId="18">
    <w:name w:val="列出段落1"/>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C517C4-4CB5-4926-9E97-95504B7F3B09}">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Pages>
  <Words>273</Words>
  <Characters>1561</Characters>
  <Lines>13</Lines>
  <Paragraphs>3</Paragraphs>
  <TotalTime>9</TotalTime>
  <ScaleCrop>false</ScaleCrop>
  <LinksUpToDate>false</LinksUpToDate>
  <CharactersWithSpaces>1831</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2019-06-06T08:59:00Z</dcterms:created>
  <dc:creator>张三</dc:creator>
  <cp:lastModifiedBy>青帝</cp:lastModifiedBy>
  <cp:lastPrinted>2019-06-20T02:29:00Z</cp:lastPrinted>
  <dcterms:modified xsi:type="dcterms:W3CDTF">2020-07-12T06:23:33Z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