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项目支出部门评价报告</w:t>
      </w:r>
    </w:p>
    <w:p>
      <w:pPr>
        <w:numPr>
          <w:ilvl w:val="0"/>
          <w:numId w:val="1"/>
        </w:numPr>
        <w:ind w:firstLine="640" w:firstLineChars="200"/>
        <w:rPr>
          <w:rFonts w:hint="eastAsia" w:ascii="黑体" w:hAnsi="黑体" w:eastAsia="黑体" w:cs="黑体"/>
          <w:sz w:val="32"/>
          <w:szCs w:val="32"/>
        </w:rPr>
      </w:pPr>
      <w:r>
        <w:rPr>
          <w:rFonts w:hint="eastAsia" w:ascii="黑体" w:hAnsi="黑体" w:eastAsia="黑体" w:cs="黑体"/>
          <w:sz w:val="32"/>
          <w:szCs w:val="32"/>
        </w:rPr>
        <w:t>基本情况</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rPr>
        <w:t>（一）项目概况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柑橘黄龙病防控专项经费项目是为促进大余脐橙产业高质量发展，主要内容包括</w:t>
      </w:r>
      <w:r>
        <w:rPr>
          <w:rFonts w:hint="eastAsia" w:ascii="仿宋_GB2312" w:hAnsi="仿宋_GB2312" w:eastAsia="仿宋_GB2312" w:cs="仿宋_GB2312"/>
          <w:sz w:val="30"/>
          <w:szCs w:val="30"/>
          <w:lang w:val="en-US" w:eastAsia="zh-CN"/>
        </w:rPr>
        <w:t>:全县建设至少3个柑橘黄龙病核心综合防控示范基地，宣传培训防控技术，实现常态化监测，常态化病树普查和清理，发病率控制在3%以内。全年计划资金投入200万元，已全部用于</w:t>
      </w:r>
      <w:r>
        <w:rPr>
          <w:rFonts w:hint="eastAsia" w:ascii="仿宋_GB2312" w:hAnsi="仿宋_GB2312" w:eastAsia="仿宋_GB2312" w:cs="仿宋_GB2312"/>
          <w:sz w:val="30"/>
          <w:szCs w:val="30"/>
          <w:lang w:eastAsia="zh-CN"/>
        </w:rPr>
        <w:t>柑橘黄龙病防控</w:t>
      </w:r>
      <w:r>
        <w:rPr>
          <w:rFonts w:hint="eastAsia" w:ascii="仿宋_GB2312" w:hAnsi="仿宋_GB2312" w:eastAsia="仿宋_GB2312" w:cs="仿宋_GB2312"/>
          <w:sz w:val="30"/>
          <w:szCs w:val="30"/>
          <w:lang w:val="en-US" w:eastAsia="zh-CN"/>
        </w:rPr>
        <w:t>。</w:t>
      </w:r>
    </w:p>
    <w:p>
      <w:pPr>
        <w:ind w:firstLine="640" w:firstLineChars="200"/>
        <w:rPr>
          <w:rFonts w:hint="eastAsia" w:ascii="楷体" w:hAnsi="楷体" w:eastAsia="楷体" w:cs="楷体"/>
          <w:sz w:val="32"/>
          <w:szCs w:val="32"/>
        </w:rPr>
      </w:pPr>
      <w:r>
        <w:rPr>
          <w:rFonts w:hint="eastAsia" w:ascii="楷体" w:hAnsi="楷体" w:eastAsia="楷体" w:cs="楷体"/>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总体和年度目标：建设至少3个柑橘黄龙病核心综合防控示范基地，宣传培训防控技术，实现常态化监测，常态化病树普查和清理，发病率控制在3%以内。</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二、绩效评价工作开展情况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eastAsia="zh-CN"/>
        </w:rPr>
      </w:pPr>
      <w:r>
        <w:rPr>
          <w:rFonts w:hint="default" w:ascii="仿宋_GB2312" w:hAnsi="仿宋_GB2312" w:eastAsia="仿宋_GB2312" w:cs="仿宋_GB2312"/>
          <w:sz w:val="30"/>
          <w:szCs w:val="30"/>
          <w:lang w:eastAsia="zh-CN"/>
        </w:rPr>
        <w:t>已按照相关规定开展绩效评价工作</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三、综合评价情况及评价结论（附相关评分表）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根据2020年度</w:t>
      </w:r>
      <w:r>
        <w:rPr>
          <w:rFonts w:hint="eastAsia" w:ascii="仿宋_GB2312" w:hAnsi="仿宋_GB2312" w:eastAsia="仿宋_GB2312" w:cs="仿宋_GB2312"/>
          <w:sz w:val="30"/>
          <w:szCs w:val="30"/>
          <w:lang w:eastAsia="zh-CN"/>
        </w:rPr>
        <w:t>柑橘黄龙病防控专项经费项目</w:t>
      </w:r>
      <w:r>
        <w:rPr>
          <w:rFonts w:hint="eastAsia" w:ascii="仿宋_GB2312" w:hAnsi="仿宋_GB2312" w:eastAsia="仿宋_GB2312" w:cs="仿宋_GB2312"/>
          <w:sz w:val="30"/>
          <w:szCs w:val="30"/>
          <w:lang w:val="en-US" w:eastAsia="zh-CN"/>
        </w:rPr>
        <w:t>自评表中的考核指标和评分标准，</w:t>
      </w:r>
      <w:r>
        <w:rPr>
          <w:rFonts w:hint="eastAsia" w:ascii="仿宋_GB2312" w:hAnsi="仿宋_GB2312" w:eastAsia="仿宋_GB2312" w:cs="仿宋_GB2312"/>
          <w:sz w:val="30"/>
          <w:szCs w:val="30"/>
          <w:lang w:eastAsia="zh-CN"/>
        </w:rPr>
        <w:t>柑橘黄龙病防控专项经费项目</w:t>
      </w:r>
      <w:r>
        <w:rPr>
          <w:rFonts w:hint="eastAsia" w:ascii="仿宋_GB2312" w:hAnsi="仿宋_GB2312" w:eastAsia="仿宋_GB2312" w:cs="仿宋_GB2312"/>
          <w:sz w:val="30"/>
          <w:szCs w:val="30"/>
          <w:lang w:val="en-US" w:eastAsia="zh-CN"/>
        </w:rPr>
        <w:t>考核自评等级为“优秀”，自评得分100分。</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四、绩效评价指标分析</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（一）项目决策情况。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所有项目，包括前期费用，都按有关规定进行了“三重一大”会议进行决策，并进行了公示公告。</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（二）项目过程情况。</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仿宋_GB2312" w:eastAsia="仿宋_GB2312"/>
          <w:sz w:val="21"/>
          <w:szCs w:val="21"/>
          <w:lang w:val="en-US" w:eastAsia="zh-CN"/>
        </w:rPr>
      </w:pPr>
      <w:r>
        <w:rPr>
          <w:rFonts w:hint="eastAsia" w:ascii="仿宋_GB2312" w:eastAsia="仿宋_GB2312"/>
          <w:sz w:val="24"/>
          <w:szCs w:val="24"/>
          <w:lang w:val="en-US" w:eastAsia="zh-CN"/>
        </w:rPr>
        <w:t xml:space="preserve">  </w:t>
      </w:r>
      <w:r>
        <w:rPr>
          <w:rFonts w:hint="eastAsia" w:ascii="仿宋_GB2312" w:hAnsi="仿宋_GB2312" w:eastAsia="仿宋_GB2312" w:cs="仿宋_GB2312"/>
          <w:sz w:val="30"/>
          <w:szCs w:val="30"/>
          <w:lang w:val="en-US" w:eastAsia="zh-CN"/>
        </w:rPr>
        <w:t>2020.1-2020.12 持续开展柑橘黄龙病综合防控工作。</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（三）项目产出情况。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已建设至少3个柑橘黄龙病核心综合防控示范基地，柑橘黄龙病发病率控制在3%以内。</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（四）项目效益情况。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全年柑橘黄龙病工作宣传、病树，普查及清理工作达到100%，病株率控制在3%以内，彻底清除病株、及时防除木虱、杜绝带病种苗、建立了防控机制，果农满意度达到98%以上。</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五、主要经验及做法、存在的问题及原因分析</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主要经验做法：</w:t>
      </w:r>
      <w:r>
        <w:rPr>
          <w:rFonts w:hint="eastAsia" w:ascii="仿宋_GB2312" w:hAnsi="华文楷体" w:eastAsia="仿宋_GB2312" w:cs="仿宋_GB2312"/>
          <w:sz w:val="32"/>
          <w:szCs w:val="32"/>
        </w:rPr>
        <w:t>一是规范、彻底清除了黄龙</w:t>
      </w:r>
      <w:r>
        <w:rPr>
          <w:rFonts w:hint="eastAsia" w:ascii="仿宋_GB2312" w:hAnsi="仿宋_GB2312" w:eastAsia="仿宋_GB2312" w:cs="仿宋_GB2312"/>
          <w:sz w:val="32"/>
          <w:szCs w:val="32"/>
        </w:rPr>
        <w:t>病树。去冬今春对全县柑橘类果树进行了全面普查,普查出病树2.5876万株，病株发生率1.62%，病树砍除率100%。全面清理了7个29.5亩失管半失管果园；二做好源头防控。3-4月在全县范围内开展对非法柑橘苗木专项整治行动，对各圩镇市场的非法柑橘苗木、大田柑橘苗木进行了销毁，共销毁各类非法柑橘苗木2.98万株；上半年组织果农调运脱毒柑橘苗木15.0187万株。全面完成2019年脱毒柑橘苗木定植验收工作,发放脱毒柑橘苗木补贴资金 75.7515万元；三是</w:t>
      </w:r>
      <w:r>
        <w:rPr>
          <w:rFonts w:hint="eastAsia" w:ascii="仿宋_GB2312" w:hAnsi="楷体" w:eastAsia="仿宋_GB2312" w:cs="楷体"/>
          <w:sz w:val="32"/>
          <w:szCs w:val="32"/>
        </w:rPr>
        <w:t>新建了3个1200亩</w:t>
      </w:r>
      <w:r>
        <w:rPr>
          <w:rFonts w:hint="eastAsia" w:ascii="仿宋_GB2312" w:hAnsi="仿宋_GB2312" w:eastAsia="仿宋_GB2312" w:cs="仿宋_GB2312"/>
          <w:sz w:val="32"/>
          <w:szCs w:val="32"/>
        </w:rPr>
        <w:t>病株发生率在2%以内的</w:t>
      </w:r>
      <w:r>
        <w:rPr>
          <w:rFonts w:hint="eastAsia" w:ascii="仿宋_GB2312" w:hAnsi="楷体" w:eastAsia="仿宋_GB2312" w:cs="楷体"/>
          <w:sz w:val="32"/>
          <w:szCs w:val="32"/>
        </w:rPr>
        <w:t>防控示范基地，</w:t>
      </w:r>
      <w:r>
        <w:rPr>
          <w:rFonts w:hint="eastAsia" w:ascii="仿宋_GB2312" w:hAnsi="仿宋_GB2312" w:eastAsia="仿宋_GB2312" w:cs="仿宋_GB2312"/>
          <w:sz w:val="32"/>
          <w:szCs w:val="32"/>
        </w:rPr>
        <w:t>通过基地防控示范，辐射带动广大果农规范防控，科学防控。</w:t>
      </w:r>
      <w:r>
        <w:rPr>
          <w:rFonts w:hint="eastAsia" w:ascii="仿宋_GB2312" w:hAnsi="仿宋_GB2312" w:eastAsia="仿宋_GB2312" w:cs="仿宋_GB2312"/>
          <w:kern w:val="1"/>
          <w:sz w:val="32"/>
          <w:szCs w:val="32"/>
        </w:rPr>
        <w:t xml:space="preserve"> </w:t>
      </w:r>
    </w:p>
    <w:p>
      <w:pPr>
        <w:keepNext w:val="0"/>
        <w:keepLines w:val="0"/>
        <w:pageBreakBefore w:val="0"/>
        <w:kinsoku/>
        <w:wordWrap/>
        <w:overflowPunct/>
        <w:topLinePunct w:val="0"/>
        <w:autoSpaceDE/>
        <w:autoSpaceDN/>
        <w:bidi w:val="0"/>
        <w:snapToGrid/>
        <w:spacing w:line="240" w:lineRule="auto"/>
        <w:ind w:leftChars="0" w:right="0" w:firstLine="60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0"/>
          <w:szCs w:val="30"/>
          <w:lang w:val="en-US" w:eastAsia="zh-CN"/>
        </w:rPr>
        <w:t>存在问题及原因：黄龙病防控工作仍然艰巨，</w:t>
      </w:r>
      <w:r>
        <w:rPr>
          <w:rFonts w:hint="eastAsia" w:ascii="仿宋_GB2312" w:hAnsi="仿宋_GB2312" w:eastAsia="仿宋_GB2312" w:cs="仿宋_GB2312"/>
          <w:sz w:val="32"/>
          <w:szCs w:val="32"/>
        </w:rPr>
        <w:t>由于少数镇村干部及果农对柑橘黄龙病防控工作认识不足，存在厌烦情绪，群防群治意识淡薄，缺乏主动性。</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w:t>
      </w:r>
    </w:p>
    <w:p>
      <w:pPr>
        <w:numPr>
          <w:ilvl w:val="0"/>
          <w:numId w:val="0"/>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六、其他需要说明的问题</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无其他需要说明的问题。</w:t>
      </w:r>
    </w:p>
    <w:p/>
    <w:p>
      <w:pPr>
        <w:spacing w:line="400" w:lineRule="exact"/>
        <w:rPr>
          <w:rFonts w:hint="eastAsia" w:ascii="仿宋_GB2312" w:eastAsia="仿宋_GB2312"/>
          <w:sz w:val="32"/>
          <w:szCs w:val="32"/>
        </w:rPr>
      </w:pPr>
    </w:p>
    <w:p>
      <w:pPr>
        <w:pStyle w:val="2"/>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pStyle w:val="3"/>
        <w:rPr>
          <w:rFonts w:hint="eastAsia" w:ascii="仿宋_GB2312" w:eastAsia="仿宋_GB2312"/>
          <w:sz w:val="32"/>
          <w:szCs w:val="32"/>
        </w:rPr>
      </w:pPr>
    </w:p>
    <w:p>
      <w:pPr>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项目支出部门评价报告</w:t>
      </w:r>
    </w:p>
    <w:p>
      <w:pPr>
        <w:numPr>
          <w:numId w:val="0"/>
        </w:num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基本情况</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rPr>
        <w:t>（一）项目概况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果业产业发展资金项目是为促进大余脐橙产业高质量发展，主要内容包括</w:t>
      </w:r>
      <w:r>
        <w:rPr>
          <w:rFonts w:hint="eastAsia" w:ascii="仿宋_GB2312" w:hAnsi="仿宋_GB2312" w:eastAsia="仿宋_GB2312" w:cs="仿宋_GB2312"/>
          <w:sz w:val="30"/>
          <w:szCs w:val="30"/>
          <w:lang w:val="en-US" w:eastAsia="zh-CN"/>
        </w:rPr>
        <w:t>:完成4000亩新开发或老果园复种建设任务；全县新建23个标准化生态果园，其中市、县级标准化生态果园11个，乡镇级12个，其中病毁复种或新开发果园9个，标准化提升改造果园5个，技术集成果园9个。建设至少3个柑橘黄龙病核心综合防控示范基地，宣传培训防控技术，实现常态化监测，常态化病树普查和清理，发病率控制在3%以内。开展柑橘苗木整治专项行动，做好源头防控工作，落实果园生产管理技术。全年计划资金投入100万元，已全部用于</w:t>
      </w:r>
      <w:r>
        <w:rPr>
          <w:rFonts w:hint="eastAsia" w:ascii="仿宋_GB2312" w:hAnsi="仿宋_GB2312" w:eastAsia="仿宋_GB2312" w:cs="仿宋_GB2312"/>
          <w:sz w:val="30"/>
          <w:szCs w:val="30"/>
          <w:lang w:eastAsia="zh-CN"/>
        </w:rPr>
        <w:t>果业产业发展</w:t>
      </w:r>
      <w:r>
        <w:rPr>
          <w:rFonts w:hint="eastAsia" w:ascii="仿宋_GB2312" w:hAnsi="仿宋_GB2312" w:eastAsia="仿宋_GB2312" w:cs="仿宋_GB2312"/>
          <w:sz w:val="30"/>
          <w:szCs w:val="30"/>
          <w:lang w:val="en-US" w:eastAsia="zh-CN"/>
        </w:rPr>
        <w:t>。</w:t>
      </w:r>
    </w:p>
    <w:p>
      <w:pPr>
        <w:ind w:firstLine="640" w:firstLineChars="200"/>
        <w:rPr>
          <w:rFonts w:hint="eastAsia" w:ascii="楷体" w:hAnsi="楷体" w:eastAsia="楷体" w:cs="楷体"/>
          <w:sz w:val="32"/>
          <w:szCs w:val="32"/>
        </w:rPr>
      </w:pPr>
      <w:r>
        <w:rPr>
          <w:rFonts w:hint="eastAsia" w:ascii="楷体" w:hAnsi="楷体" w:eastAsia="楷体" w:cs="楷体"/>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1.完成4000亩新开发或老果园复种建设任务；全县新建23个标准化生态果园，其中市、县级标准化生态果园11个，乡镇级12个，其中病毁复种或新开发果园9个，标准化提升改造果园5个，技术集成果园9个。</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2.建设至少3个柑橘黄龙病核心综合防控示范基地宣传培训防控技术，实现常态化监测，常态化病树普查和清理，发病率控制在3%以内。</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3.开展柑橘苗木整治专项行动，做好源头防控工作，落实果园生产管理技术。</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二、绩效评价工作开展情况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eastAsia="zh-CN"/>
        </w:rPr>
      </w:pPr>
      <w:r>
        <w:rPr>
          <w:rFonts w:hint="default" w:ascii="仿宋_GB2312" w:hAnsi="仿宋_GB2312" w:eastAsia="仿宋_GB2312" w:cs="仿宋_GB2312"/>
          <w:sz w:val="30"/>
          <w:szCs w:val="30"/>
          <w:lang w:eastAsia="zh-CN"/>
        </w:rPr>
        <w:t>已按照相关规定开展绩效评价工作</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三、综合评价情况及评价结论（附相关评分表）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根据2020年度</w:t>
      </w:r>
      <w:r>
        <w:rPr>
          <w:rFonts w:hint="eastAsia" w:ascii="仿宋_GB2312" w:hAnsi="仿宋_GB2312" w:eastAsia="仿宋_GB2312" w:cs="仿宋_GB2312"/>
          <w:sz w:val="30"/>
          <w:szCs w:val="30"/>
          <w:lang w:eastAsia="zh-CN"/>
        </w:rPr>
        <w:t>果业产业发展资金项目</w:t>
      </w:r>
      <w:r>
        <w:rPr>
          <w:rFonts w:hint="eastAsia" w:ascii="仿宋_GB2312" w:hAnsi="仿宋_GB2312" w:eastAsia="仿宋_GB2312" w:cs="仿宋_GB2312"/>
          <w:sz w:val="30"/>
          <w:szCs w:val="30"/>
          <w:lang w:val="en-US" w:eastAsia="zh-CN"/>
        </w:rPr>
        <w:t>自评表中的考核指标和评分标准，</w:t>
      </w:r>
      <w:r>
        <w:rPr>
          <w:rFonts w:hint="eastAsia" w:ascii="仿宋_GB2312" w:hAnsi="仿宋_GB2312" w:eastAsia="仿宋_GB2312" w:cs="仿宋_GB2312"/>
          <w:sz w:val="30"/>
          <w:szCs w:val="30"/>
          <w:lang w:eastAsia="zh-CN"/>
        </w:rPr>
        <w:t>果业产业发展资金项目</w:t>
      </w:r>
      <w:r>
        <w:rPr>
          <w:rFonts w:hint="eastAsia" w:ascii="仿宋_GB2312" w:hAnsi="仿宋_GB2312" w:eastAsia="仿宋_GB2312" w:cs="仿宋_GB2312"/>
          <w:sz w:val="30"/>
          <w:szCs w:val="30"/>
          <w:lang w:val="en-US" w:eastAsia="zh-CN"/>
        </w:rPr>
        <w:t>考核自评等级为“优秀”，自评得分100分。</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四、绩效评价指标分析</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（一）项目决策情况。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所有项目，包括前期费用，都按有关规定进行了“三重一大”会议进行决策，并进行了公示公告。</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（二）项目过程情况。</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仿宋_GB2312" w:eastAsia="仿宋_GB2312"/>
          <w:sz w:val="21"/>
          <w:szCs w:val="21"/>
          <w:lang w:val="en-US" w:eastAsia="zh-CN"/>
        </w:rPr>
      </w:pPr>
      <w:r>
        <w:rPr>
          <w:rFonts w:hint="eastAsia" w:ascii="仿宋_GB2312" w:eastAsia="仿宋_GB2312"/>
          <w:sz w:val="24"/>
          <w:szCs w:val="24"/>
          <w:lang w:val="en-US" w:eastAsia="zh-CN"/>
        </w:rPr>
        <w:t xml:space="preserve">  </w:t>
      </w:r>
      <w:r>
        <w:rPr>
          <w:rFonts w:hint="eastAsia" w:ascii="仿宋_GB2312" w:hAnsi="仿宋_GB2312" w:eastAsia="仿宋_GB2312" w:cs="仿宋_GB2312"/>
          <w:sz w:val="30"/>
          <w:szCs w:val="30"/>
          <w:lang w:val="en-US" w:eastAsia="zh-CN"/>
        </w:rPr>
        <w:t>2020.1-2020.12 持续进行赣南脐橙产业发展升级项目。</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（三）项目产出情况。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已完成4000亩新开发或老果园复种建设任务，全县新建23个标准化生态果园，其中市、县级标准化生态果园11个，乡镇级12个，其中病毁复种或新开发果园9个，标准化提升改造果园5个，技术集成果园9个。</w:t>
      </w:r>
      <w:r>
        <w:rPr>
          <w:rFonts w:hint="eastAsia" w:ascii="仿宋_GB2312" w:hAnsi="仿宋_GB2312" w:eastAsia="仿宋_GB2312" w:cs="仿宋_GB2312"/>
          <w:sz w:val="30"/>
          <w:szCs w:val="30"/>
          <w:lang w:eastAsia="zh-CN"/>
        </w:rPr>
        <w:t>已建设至少3个柑橘黄龙病核心综合防控示范基地，柑橘黄龙病发病率控制在3%以内。</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（四）项目效益情况。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已完成4000亩新开发或老果园复种建设任务，整顿柑橘大田育苗、苗木市场达到100%，促进脐橙产业持续健康发展</w:t>
      </w:r>
      <w:r>
        <w:rPr>
          <w:rFonts w:hint="eastAsia" w:ascii="仿宋_GB2312" w:hAnsi="仿宋_GB2312" w:eastAsia="仿宋_GB2312"/>
          <w:sz w:val="21"/>
          <w:szCs w:val="21"/>
          <w:lang w:val="en-US" w:eastAsia="zh-CN"/>
        </w:rPr>
        <w:t>，</w:t>
      </w:r>
      <w:r>
        <w:rPr>
          <w:rFonts w:hint="eastAsia" w:ascii="仿宋_GB2312" w:hAnsi="仿宋_GB2312" w:eastAsia="仿宋_GB2312" w:cs="仿宋_GB2312"/>
          <w:sz w:val="30"/>
          <w:szCs w:val="30"/>
          <w:lang w:val="en-US" w:eastAsia="zh-CN"/>
        </w:rPr>
        <w:t>果农满意度达到98%以上。</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五、主要经验及做法、存在的问题及原因分析</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主要经验做法：</w:t>
      </w:r>
      <w:r>
        <w:rPr>
          <w:rFonts w:hint="eastAsia" w:ascii="仿宋_GB2312" w:hAnsi="仿宋_GB2312" w:eastAsia="仿宋_GB2312" w:cs="仿宋_GB2312"/>
          <w:sz w:val="32"/>
          <w:szCs w:val="32"/>
          <w:shd w:val="clear" w:color="auto" w:fill="FFFFFF"/>
        </w:rPr>
        <w:t>立足于我县自然资源的承载能力，科学确定了可开发种植区和产业规模，</w:t>
      </w:r>
      <w:r>
        <w:rPr>
          <w:rFonts w:hint="eastAsia" w:ascii="仿宋_GB2312" w:hAnsi="仿宋" w:eastAsia="仿宋_GB2312"/>
          <w:sz w:val="32"/>
          <w:szCs w:val="32"/>
        </w:rPr>
        <w:t>2020年</w:t>
      </w:r>
      <w:r>
        <w:rPr>
          <w:rFonts w:hint="eastAsia" w:ascii="仿宋_GB2312" w:hAnsi="仿宋_GB2312" w:eastAsia="仿宋_GB2312" w:cs="仿宋_GB2312"/>
          <w:sz w:val="32"/>
          <w:szCs w:val="32"/>
        </w:rPr>
        <w:t>4366亩新开发和病毁复种果园已全部严格按照标准化生态模式建园定植。</w:t>
      </w:r>
      <w:r>
        <w:rPr>
          <w:rFonts w:hint="eastAsia" w:ascii="仿宋_GB2312" w:hAnsi="仿宋" w:eastAsia="仿宋_GB2312"/>
          <w:sz w:val="32"/>
          <w:szCs w:val="32"/>
        </w:rPr>
        <w:t>全县现有果业总面积6.65万亩，柑橘类面积4.</w:t>
      </w:r>
      <w:r>
        <w:rPr>
          <w:rFonts w:hint="eastAsia" w:ascii="仿宋_GB2312" w:hAnsi="仿宋" w:eastAsia="仿宋_GB2312"/>
          <w:sz w:val="32"/>
          <w:szCs w:val="32"/>
          <w:lang w:val="en-US" w:eastAsia="zh-CN"/>
        </w:rPr>
        <w:t>1</w:t>
      </w:r>
      <w:r>
        <w:rPr>
          <w:rFonts w:hint="eastAsia" w:ascii="仿宋_GB2312" w:hAnsi="仿宋" w:eastAsia="仿宋_GB2312"/>
          <w:sz w:val="32"/>
          <w:szCs w:val="32"/>
        </w:rPr>
        <w:t>8万亩，（其中脐橙面积3.6万亩），水果总产量约为5.3万吨,脐橙产量3万吨，产业集群总产值达3.66亿元。</w:t>
      </w:r>
    </w:p>
    <w:p>
      <w:pPr>
        <w:keepNext w:val="0"/>
        <w:keepLines w:val="0"/>
        <w:pageBreakBefore w:val="0"/>
        <w:kinsoku/>
        <w:wordWrap/>
        <w:overflowPunct/>
        <w:topLinePunct w:val="0"/>
        <w:autoSpaceDE/>
        <w:autoSpaceDN/>
        <w:bidi w:val="0"/>
        <w:snapToGrid/>
        <w:spacing w:line="240" w:lineRule="auto"/>
        <w:ind w:leftChars="0" w:right="0" w:firstLine="60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0"/>
          <w:szCs w:val="30"/>
          <w:lang w:val="en-US" w:eastAsia="zh-CN"/>
        </w:rPr>
        <w:t>存在问题及原因：</w:t>
      </w:r>
      <w:r>
        <w:rPr>
          <w:rFonts w:hint="eastAsia" w:ascii="仿宋_GB2312" w:hAnsi="仿宋_GB2312" w:eastAsia="仿宋_GB2312" w:cs="仿宋_GB2312"/>
          <w:sz w:val="32"/>
          <w:szCs w:val="32"/>
        </w:rPr>
        <w:t>因近几年脐橙价格好，利润空间大，果农开发新果园积极性较高，</w:t>
      </w:r>
      <w:r>
        <w:rPr>
          <w:rFonts w:hint="eastAsia" w:ascii="仿宋_GB2312" w:hAnsi="仿宋_GB2312" w:eastAsia="仿宋_GB2312" w:cs="仿宋_GB2312"/>
          <w:sz w:val="32"/>
          <w:szCs w:val="32"/>
          <w:lang w:eastAsia="zh-CN"/>
        </w:rPr>
        <w:t>造成山地紧缺，</w:t>
      </w:r>
      <w:r>
        <w:rPr>
          <w:rFonts w:hint="eastAsia" w:ascii="仿宋_GB2312" w:hAnsi="仿宋_GB2312" w:eastAsia="仿宋_GB2312" w:cs="仿宋_GB2312"/>
          <w:sz w:val="32"/>
          <w:szCs w:val="32"/>
        </w:rPr>
        <w:t>相关职能部门监管力度不够，果业局无执法权，造成新开发果园的监管难度较大。</w:t>
      </w:r>
    </w:p>
    <w:p>
      <w:pPr>
        <w:numPr>
          <w:ilvl w:val="0"/>
          <w:numId w:val="0"/>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六、其他需要说明的问题</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无其他需要说明的问题。</w:t>
      </w:r>
    </w:p>
    <w:p>
      <w:pPr>
        <w:pStyle w:val="2"/>
        <w:rPr>
          <w:rFonts w:hint="eastAsia" w:ascii="仿宋_GB2312" w:hAnsi="仿宋_GB2312" w:eastAsia="仿宋_GB2312" w:cs="仿宋_GB2312"/>
          <w:sz w:val="30"/>
          <w:szCs w:val="30"/>
          <w:lang w:val="en-US" w:eastAsia="zh-CN"/>
        </w:rPr>
      </w:pPr>
    </w:p>
    <w:p>
      <w:pPr>
        <w:pStyle w:val="3"/>
        <w:rPr>
          <w:rFonts w:hint="eastAsia" w:ascii="仿宋_GB2312" w:hAnsi="仿宋_GB2312" w:eastAsia="仿宋_GB2312" w:cs="仿宋_GB2312"/>
          <w:sz w:val="30"/>
          <w:szCs w:val="30"/>
          <w:lang w:val="en-US" w:eastAsia="zh-CN"/>
        </w:rPr>
      </w:pPr>
    </w:p>
    <w:p>
      <w:pPr>
        <w:pStyle w:val="3"/>
        <w:rPr>
          <w:rFonts w:hint="eastAsia" w:ascii="仿宋_GB2312" w:hAnsi="仿宋_GB2312" w:eastAsia="仿宋_GB2312" w:cs="仿宋_GB2312"/>
          <w:sz w:val="30"/>
          <w:szCs w:val="30"/>
          <w:lang w:val="en-US" w:eastAsia="zh-CN"/>
        </w:rPr>
      </w:pPr>
    </w:p>
    <w:p>
      <w:pPr>
        <w:pStyle w:val="3"/>
        <w:rPr>
          <w:rFonts w:hint="eastAsia" w:ascii="仿宋_GB2312" w:hAnsi="仿宋_GB2312" w:eastAsia="仿宋_GB2312" w:cs="仿宋_GB2312"/>
          <w:sz w:val="30"/>
          <w:szCs w:val="30"/>
          <w:lang w:val="en-US" w:eastAsia="zh-CN"/>
        </w:rPr>
      </w:pPr>
    </w:p>
    <w:p>
      <w:pPr>
        <w:pStyle w:val="3"/>
        <w:rPr>
          <w:rFonts w:hint="eastAsia" w:ascii="仿宋_GB2312" w:hAnsi="仿宋_GB2312" w:eastAsia="仿宋_GB2312" w:cs="仿宋_GB2312"/>
          <w:sz w:val="30"/>
          <w:szCs w:val="30"/>
          <w:lang w:val="en-US" w:eastAsia="zh-CN"/>
        </w:rPr>
      </w:pPr>
    </w:p>
    <w:p>
      <w:pPr>
        <w:pStyle w:val="3"/>
        <w:rPr>
          <w:rFonts w:hint="eastAsia" w:ascii="仿宋_GB2312" w:hAnsi="仿宋_GB2312" w:eastAsia="仿宋_GB2312" w:cs="仿宋_GB2312"/>
          <w:sz w:val="30"/>
          <w:szCs w:val="30"/>
          <w:lang w:val="en-US" w:eastAsia="zh-CN"/>
        </w:rPr>
      </w:pPr>
    </w:p>
    <w:p>
      <w:pPr>
        <w:pStyle w:val="3"/>
        <w:rPr>
          <w:rFonts w:hint="eastAsia" w:ascii="仿宋_GB2312" w:hAnsi="仿宋_GB2312" w:eastAsia="仿宋_GB2312" w:cs="仿宋_GB2312"/>
          <w:sz w:val="30"/>
          <w:szCs w:val="30"/>
          <w:lang w:val="en-US" w:eastAsia="zh-CN"/>
        </w:rPr>
      </w:pPr>
    </w:p>
    <w:p>
      <w:pPr>
        <w:pStyle w:val="3"/>
        <w:rPr>
          <w:rFonts w:hint="eastAsia" w:ascii="仿宋_GB2312" w:hAnsi="仿宋_GB2312" w:eastAsia="仿宋_GB2312" w:cs="仿宋_GB2312"/>
          <w:sz w:val="30"/>
          <w:szCs w:val="30"/>
          <w:lang w:val="en-US" w:eastAsia="zh-CN"/>
        </w:rPr>
      </w:pPr>
    </w:p>
    <w:p>
      <w:pPr>
        <w:pStyle w:val="3"/>
        <w:rPr>
          <w:rFonts w:hint="eastAsia" w:ascii="仿宋_GB2312" w:hAnsi="仿宋_GB2312" w:eastAsia="仿宋_GB2312" w:cs="仿宋_GB2312"/>
          <w:sz w:val="30"/>
          <w:szCs w:val="30"/>
          <w:lang w:val="en-US" w:eastAsia="zh-CN"/>
        </w:rPr>
      </w:pPr>
    </w:p>
    <w:p>
      <w:pPr>
        <w:pStyle w:val="3"/>
        <w:rPr>
          <w:rFonts w:hint="eastAsia" w:ascii="仿宋_GB2312" w:hAnsi="仿宋_GB2312" w:eastAsia="仿宋_GB2312" w:cs="仿宋_GB2312"/>
          <w:sz w:val="30"/>
          <w:szCs w:val="30"/>
          <w:lang w:val="en-US" w:eastAsia="zh-CN"/>
        </w:rPr>
      </w:pPr>
    </w:p>
    <w:p>
      <w:pPr>
        <w:pStyle w:val="3"/>
        <w:rPr>
          <w:rFonts w:hint="eastAsia" w:ascii="仿宋_GB2312" w:hAnsi="仿宋_GB2312" w:eastAsia="仿宋_GB2312" w:cs="仿宋_GB2312"/>
          <w:sz w:val="30"/>
          <w:szCs w:val="30"/>
          <w:lang w:val="en-US" w:eastAsia="zh-CN"/>
        </w:rPr>
      </w:pPr>
    </w:p>
    <w:p>
      <w:pPr>
        <w:pStyle w:val="3"/>
        <w:rPr>
          <w:rFonts w:hint="eastAsia" w:ascii="仿宋_GB2312" w:hAnsi="仿宋_GB2312" w:eastAsia="仿宋_GB2312" w:cs="仿宋_GB2312"/>
          <w:sz w:val="30"/>
          <w:szCs w:val="30"/>
          <w:lang w:val="en-US" w:eastAsia="zh-CN"/>
        </w:rPr>
      </w:pPr>
    </w:p>
    <w:p>
      <w:pPr>
        <w:pStyle w:val="3"/>
        <w:ind w:left="0" w:leftChars="0" w:firstLine="0" w:firstLineChars="0"/>
        <w:rPr>
          <w:rFonts w:hint="eastAsia" w:ascii="仿宋_GB2312" w:eastAsia="仿宋_GB2312"/>
          <w:sz w:val="32"/>
          <w:szCs w:val="32"/>
        </w:rPr>
      </w:pPr>
    </w:p>
    <w:p>
      <w:pPr>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项目支出部门评价报告</w:t>
      </w:r>
    </w:p>
    <w:p>
      <w:pPr>
        <w:numPr>
          <w:numId w:val="0"/>
        </w:numPr>
        <w:ind w:firstLine="640" w:firstLineChars="200"/>
        <w:rPr>
          <w:rFonts w:hint="eastAsia" w:ascii="黑体" w:hAnsi="黑体" w:eastAsia="黑体" w:cs="黑体"/>
          <w:sz w:val="32"/>
          <w:szCs w:val="32"/>
        </w:rPr>
      </w:pPr>
      <w:bookmarkStart w:id="0" w:name="_GoBack"/>
      <w:bookmarkEnd w:id="0"/>
      <w:r>
        <w:rPr>
          <w:rFonts w:hint="eastAsia" w:ascii="黑体" w:hAnsi="黑体" w:eastAsia="黑体" w:cs="黑体"/>
          <w:sz w:val="32"/>
          <w:szCs w:val="32"/>
          <w:lang w:eastAsia="zh-CN"/>
        </w:rPr>
        <w:t>一、</w:t>
      </w:r>
      <w:r>
        <w:rPr>
          <w:rFonts w:hint="eastAsia" w:ascii="黑体" w:hAnsi="黑体" w:eastAsia="黑体" w:cs="黑体"/>
          <w:sz w:val="32"/>
          <w:szCs w:val="32"/>
        </w:rPr>
        <w:t>基本情况</w:t>
      </w:r>
    </w:p>
    <w:p>
      <w:pPr>
        <w:numPr>
          <w:ilvl w:val="0"/>
          <w:numId w:val="0"/>
        </w:numPr>
        <w:ind w:firstLine="640" w:firstLineChars="200"/>
        <w:rPr>
          <w:rFonts w:hint="eastAsia" w:ascii="楷体" w:hAnsi="楷体" w:eastAsia="楷体" w:cs="楷体"/>
          <w:sz w:val="32"/>
          <w:szCs w:val="32"/>
        </w:rPr>
      </w:pPr>
      <w:r>
        <w:rPr>
          <w:rFonts w:hint="eastAsia" w:ascii="楷体" w:hAnsi="楷体" w:eastAsia="楷体" w:cs="楷体"/>
          <w:sz w:val="32"/>
          <w:szCs w:val="32"/>
        </w:rPr>
        <w:t>（一）项目概况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果业开发及脐橙营销专项经费项目是为促进大余脐橙产业高质量发展，主要内容包括</w:t>
      </w:r>
      <w:r>
        <w:rPr>
          <w:rFonts w:hint="eastAsia" w:ascii="仿宋_GB2312" w:hAnsi="仿宋_GB2312" w:eastAsia="仿宋_GB2312" w:cs="仿宋_GB2312"/>
          <w:sz w:val="30"/>
          <w:szCs w:val="30"/>
          <w:lang w:val="en-US" w:eastAsia="zh-CN"/>
        </w:rPr>
        <w:t>:1.做好我县脐橙采收、加工、销售三个环节的监管工作，实现果农增收、产业增效。2、完善大余赣</w:t>
      </w:r>
      <w:r>
        <w:rPr>
          <w:rFonts w:hint="eastAsia" w:ascii="仿宋_GB2312" w:hAnsi="仿宋_GB2312" w:eastAsia="仿宋_GB2312" w:cs="仿宋_GB2312"/>
          <w:color w:val="auto"/>
          <w:sz w:val="30"/>
          <w:szCs w:val="30"/>
          <w:lang w:val="en-US" w:eastAsia="zh-CN"/>
        </w:rPr>
        <w:t>南脐橙果品质量追溯体系建设</w:t>
      </w:r>
      <w:r>
        <w:rPr>
          <w:rFonts w:hint="eastAsia" w:ascii="仿宋_GB2312" w:hAnsi="仿宋_GB2312" w:eastAsia="仿宋_GB2312" w:cs="仿宋_GB2312"/>
          <w:sz w:val="30"/>
          <w:szCs w:val="30"/>
          <w:lang w:val="en-US" w:eastAsia="zh-CN"/>
        </w:rPr>
        <w:t>。3、进一步健全主攻城市脐</w:t>
      </w:r>
      <w:r>
        <w:rPr>
          <w:rFonts w:hint="eastAsia" w:ascii="仿宋_GB2312" w:hAnsi="仿宋_GB2312" w:eastAsia="仿宋_GB2312" w:cs="仿宋_GB2312"/>
          <w:color w:val="auto"/>
          <w:sz w:val="30"/>
          <w:szCs w:val="30"/>
          <w:lang w:val="en-US" w:eastAsia="zh-CN"/>
        </w:rPr>
        <w:t>橙市场营销体系</w:t>
      </w:r>
      <w:r>
        <w:rPr>
          <w:rFonts w:hint="eastAsia" w:ascii="仿宋_GB2312" w:hAnsi="仿宋_GB2312" w:eastAsia="仿宋_GB2312" w:cs="仿宋_GB2312"/>
          <w:sz w:val="30"/>
          <w:szCs w:val="30"/>
          <w:lang w:val="en-US" w:eastAsia="zh-CN"/>
        </w:rPr>
        <w:t>，壮大电商经营市场，稳扩市场份额。全年计划资金投入15.5万元，已全部用于果业开发及脐橙营销。</w:t>
      </w:r>
    </w:p>
    <w:p>
      <w:pPr>
        <w:ind w:firstLine="640" w:firstLineChars="200"/>
        <w:rPr>
          <w:rFonts w:hint="eastAsia" w:ascii="楷体" w:hAnsi="楷体" w:eastAsia="楷体" w:cs="楷体"/>
          <w:sz w:val="32"/>
          <w:szCs w:val="32"/>
        </w:rPr>
      </w:pPr>
      <w:r>
        <w:rPr>
          <w:rFonts w:hint="eastAsia" w:ascii="楷体" w:hAnsi="楷体" w:eastAsia="楷体" w:cs="楷体"/>
          <w:sz w:val="32"/>
          <w:szCs w:val="32"/>
        </w:rPr>
        <w:t>（二）项目绩效目标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总体目标：建立完善的大余赣南脐橙营销体系，扩大市场份额，实现产业提质增效。</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年度目标：杜绝早采、假冒赣南脐橙现象，进一步加大电商营运力度，达到果品销售占总产的</w:t>
      </w:r>
      <w:r>
        <w:rPr>
          <w:rFonts w:hint="eastAsia" w:ascii="仿宋_GB2312" w:hAnsi="仿宋_GB2312" w:eastAsia="仿宋_GB2312" w:cs="仿宋_GB2312"/>
          <w:sz w:val="30"/>
          <w:szCs w:val="30"/>
          <w:lang w:val="en-US" w:eastAsia="zh-CN"/>
        </w:rPr>
        <w:t>30%以上；参与赣南优质果品展示展销，稳步扩大余赣南脐橙主攻城市市场份额。</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二、绩效评价工作开展情况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eastAsia="zh-CN"/>
        </w:rPr>
      </w:pPr>
      <w:r>
        <w:rPr>
          <w:rFonts w:hint="default" w:ascii="仿宋_GB2312" w:hAnsi="仿宋_GB2312" w:eastAsia="仿宋_GB2312" w:cs="仿宋_GB2312"/>
          <w:sz w:val="30"/>
          <w:szCs w:val="30"/>
          <w:lang w:eastAsia="zh-CN"/>
        </w:rPr>
        <w:t>已按照相关规定开展绩效评价工作</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三、综合评价情况及评价结论（附相关评分表）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根据2020年度</w:t>
      </w:r>
      <w:r>
        <w:rPr>
          <w:rFonts w:hint="eastAsia" w:ascii="仿宋_GB2312" w:hAnsi="仿宋_GB2312" w:eastAsia="仿宋_GB2312" w:cs="仿宋_GB2312"/>
          <w:sz w:val="30"/>
          <w:szCs w:val="30"/>
          <w:lang w:eastAsia="zh-CN"/>
        </w:rPr>
        <w:t>果业开发及脐橙营销专项经费项目</w:t>
      </w:r>
      <w:r>
        <w:rPr>
          <w:rFonts w:hint="eastAsia" w:ascii="仿宋_GB2312" w:hAnsi="仿宋_GB2312" w:eastAsia="仿宋_GB2312" w:cs="仿宋_GB2312"/>
          <w:sz w:val="30"/>
          <w:szCs w:val="30"/>
          <w:lang w:val="en-US" w:eastAsia="zh-CN"/>
        </w:rPr>
        <w:t>自评表中的考核指标和评分标准，</w:t>
      </w:r>
      <w:r>
        <w:rPr>
          <w:rFonts w:hint="eastAsia" w:ascii="仿宋_GB2312" w:hAnsi="仿宋_GB2312" w:eastAsia="仿宋_GB2312" w:cs="仿宋_GB2312"/>
          <w:sz w:val="30"/>
          <w:szCs w:val="30"/>
          <w:lang w:eastAsia="zh-CN"/>
        </w:rPr>
        <w:t>果业开发及脐橙营销专项经费项目</w:t>
      </w:r>
      <w:r>
        <w:rPr>
          <w:rFonts w:hint="eastAsia" w:ascii="仿宋_GB2312" w:hAnsi="仿宋_GB2312" w:eastAsia="仿宋_GB2312" w:cs="仿宋_GB2312"/>
          <w:sz w:val="30"/>
          <w:szCs w:val="30"/>
          <w:lang w:val="en-US" w:eastAsia="zh-CN"/>
        </w:rPr>
        <w:t>考核自评等级为“优秀”，自评得分100分。</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四、绩效评价指标分析</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（一）项目决策情况。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所有项目，包括前期费用，都按有关规定进行了“三重一大”会议进行决策，并进行了公示公告。</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（二）项目过程情况。</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_GB2312" w:hAnsi="仿宋_GB2312" w:eastAsia="仿宋_GB2312" w:cs="仿宋_GB2312"/>
          <w:sz w:val="30"/>
          <w:szCs w:val="30"/>
          <w:lang w:eastAsia="zh-CN"/>
        </w:rPr>
      </w:pPr>
      <w:r>
        <w:rPr>
          <w:rFonts w:hint="eastAsia" w:ascii="仿宋_GB2312" w:eastAsia="仿宋_GB2312"/>
          <w:sz w:val="24"/>
          <w:szCs w:val="24"/>
          <w:lang w:val="en-US" w:eastAsia="zh-CN"/>
        </w:rPr>
        <w:t xml:space="preserve">  </w:t>
      </w:r>
      <w:r>
        <w:rPr>
          <w:rFonts w:hint="eastAsia" w:ascii="仿宋_GB2312" w:hAnsi="仿宋_GB2312" w:eastAsia="仿宋_GB2312" w:cs="仿宋_GB2312"/>
          <w:sz w:val="30"/>
          <w:szCs w:val="30"/>
          <w:lang w:val="en-US" w:eastAsia="zh-CN"/>
        </w:rPr>
        <w:t>2020.10-2020.11</w:t>
      </w:r>
      <w:r>
        <w:rPr>
          <w:rFonts w:hint="eastAsia" w:ascii="仿宋_GB2312" w:hAnsi="仿宋_GB2312" w:eastAsia="仿宋_GB2312" w:cs="仿宋_GB2312"/>
          <w:sz w:val="30"/>
          <w:szCs w:val="30"/>
          <w:lang w:eastAsia="zh-CN"/>
        </w:rPr>
        <w:t>开展制止早采专项行动，维护果品质量安全；</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2020.11-2020.12</w:t>
      </w:r>
      <w:r>
        <w:rPr>
          <w:rFonts w:hint="eastAsia" w:ascii="仿宋_GB2312" w:hAnsi="仿宋_GB2312" w:eastAsia="仿宋_GB2312" w:cs="仿宋_GB2312"/>
          <w:sz w:val="30"/>
          <w:szCs w:val="30"/>
          <w:lang w:eastAsia="zh-CN"/>
        </w:rPr>
        <w:t>推进赣南脐橙追溯体系建设；</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2020.11-2020.12</w:t>
      </w:r>
      <w:r>
        <w:rPr>
          <w:rFonts w:hint="eastAsia" w:ascii="仿宋_GB2312" w:hAnsi="仿宋_GB2312" w:eastAsia="仿宋_GB2312" w:cs="仿宋_GB2312"/>
          <w:sz w:val="30"/>
          <w:szCs w:val="30"/>
          <w:lang w:eastAsia="zh-CN"/>
        </w:rPr>
        <w:t>参加赣南脐橙网络脐橙节及优质果品展示展销会；</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2020.11-2021.1</w:t>
      </w:r>
      <w:r>
        <w:rPr>
          <w:rFonts w:hint="eastAsia" w:ascii="仿宋_GB2312" w:hAnsi="仿宋_GB2312" w:eastAsia="仿宋_GB2312" w:cs="仿宋_GB2312"/>
          <w:sz w:val="30"/>
          <w:szCs w:val="30"/>
          <w:lang w:eastAsia="zh-CN"/>
        </w:rPr>
        <w:t>主攻城市开展营销推介</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eastAsia="仿宋_GB2312"/>
          <w:sz w:val="21"/>
          <w:szCs w:val="21"/>
          <w:lang w:val="en-US" w:eastAsia="zh-CN"/>
        </w:rPr>
      </w:pPr>
      <w:r>
        <w:rPr>
          <w:rFonts w:hint="eastAsia" w:ascii="仿宋_GB2312" w:hAnsi="仿宋_GB2312" w:eastAsia="仿宋_GB2312" w:cs="仿宋_GB2312"/>
          <w:sz w:val="30"/>
          <w:szCs w:val="30"/>
          <w:lang w:val="en-US" w:eastAsia="zh-CN"/>
        </w:rPr>
        <w:t>2020.11-2021.3开展维权打假，维护赣南脐橙品牌声誉。</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（三）项目产出情况。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非生产建设性项目，无产出情况。</w:t>
      </w:r>
    </w:p>
    <w:p>
      <w:pPr>
        <w:ind w:firstLine="640" w:firstLineChars="200"/>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（四）项目效益情况。</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销售产量大于3万吨，制止早采及打假率达到100%，销售增长率提高了10%，促进脐橙产业发展规模，带动就业人数2000余人，果农满意度达到98%以上。</w:t>
      </w:r>
    </w:p>
    <w:p>
      <w:p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五、主要经验及做法、存在的问题及原因分析</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主要经验做法：一是为促进产业绿色、生态发展，全县已建立无公害脐橙基地11个，绿色食品认证企业2个，2020年赣州二五六果业有限公司，绿源生态果业专业合作社即将通过绿色食品企业认证；二是完善了果品采后服务体系建设。全县果品分级加工能力达75吨/小时（其中10吨/小时生产线3条），江西香草农业科技有限公司今年购置了一条现代化的集测糖、称重、大小于一体的果品分级生产线，果品储藏能力2.6万吨，提升了产业附加值，延长果品销售期；三是推进赣南脐橙区块链建设。在全县脐橙产业推广应用“国家农产品质量安全追溯管理信息平台”和赣南脐橙品牌溯源系统，共有887户果农在平台进行了溯源主体注册，为实现“建档到户、入链到园、认证到果、服务到点、监管到位”奠定基础；四是充分发挥电子商务在果品销售中的作用，培育了大余志明农业发展有限公司、蒙氏果业、伊甸园等一批电商企业，通过电商销售的脐橙近10000吨，在2020年赣南脐橙网络博览节上，我县脐橙品质得到了消费者的高度评价。</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存在问题及原因：近年由于脐橙价格一路走高，但今年由于疫情等影响，果农脐橙销售价格未到自己的预期价格不愿出售，如遇极端天气极有可能造成果品滞销。</w:t>
      </w:r>
    </w:p>
    <w:p>
      <w:pPr>
        <w:numPr>
          <w:ilvl w:val="0"/>
          <w:numId w:val="0"/>
        </w:numPr>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六、其他需要说明的问题</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无其他需要说明的问题。</w:t>
      </w:r>
    </w:p>
    <w:p>
      <w:pPr>
        <w:pStyle w:val="3"/>
        <w:ind w:left="0" w:leftChars="0" w:firstLine="0" w:firstLineChars="0"/>
        <w:rPr>
          <w:rFonts w:hint="eastAsia" w:ascii="仿宋_GB2312" w:eastAsia="仿宋_GB2312"/>
          <w:sz w:val="32"/>
          <w:szCs w:val="32"/>
        </w:rPr>
      </w:pPr>
    </w:p>
    <w:p>
      <w:pPr>
        <w:spacing w:line="360" w:lineRule="auto"/>
        <w:rPr>
          <w:rFonts w:hint="eastAsia" w:ascii="仿宋_GB2312" w:eastAsia="仿宋_GB2312"/>
          <w:sz w:val="32"/>
          <w:szCs w:val="32"/>
          <w:lang w:val="en-US" w:eastAsia="zh-CN"/>
        </w:rPr>
      </w:pPr>
    </w:p>
    <w:p>
      <w:pPr>
        <w:spacing w:line="360" w:lineRule="auto"/>
        <w:ind w:firstLine="640" w:firstLineChars="200"/>
        <w:rPr>
          <w:rFonts w:hint="eastAsia" w:ascii="仿宋_GB2312" w:eastAsia="仿宋_GB2312"/>
          <w:sz w:val="32"/>
          <w:szCs w:val="32"/>
        </w:rPr>
      </w:pPr>
    </w:p>
    <w:p>
      <w:pPr>
        <w:jc w:val="both"/>
        <w:rPr>
          <w:rFonts w:hint="eastAsia" w:ascii="仿宋_GB2312" w:hAnsi="仿宋_GB2312" w:eastAsia="仿宋_GB2312" w:cs="仿宋_GB2312"/>
          <w:b/>
          <w:bCs/>
          <w:sz w:val="30"/>
          <w:szCs w:val="30"/>
        </w:rPr>
      </w:pPr>
    </w:p>
    <w:p>
      <w:pPr>
        <w:jc w:val="both"/>
        <w:rPr>
          <w:rFonts w:hint="eastAsia" w:ascii="仿宋_GB2312" w:hAnsi="仿宋_GB2312" w:eastAsia="仿宋_GB2312" w:cs="仿宋_GB2312"/>
          <w:b w:val="0"/>
          <w:bCs w:val="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8874F33"/>
    <w:multiLevelType w:val="singleLevel"/>
    <w:tmpl w:val="B8874F3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170C1F"/>
    <w:rsid w:val="01D66CCB"/>
    <w:rsid w:val="19170C1F"/>
    <w:rsid w:val="41D31AB1"/>
    <w:rsid w:val="636121A3"/>
    <w:rsid w:val="77A02B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3"/>
    <w:next w:val="3"/>
    <w:qFormat/>
    <w:uiPriority w:val="99"/>
    <w:pPr>
      <w:spacing w:line="600" w:lineRule="exact"/>
      <w:ind w:firstLine="640"/>
    </w:pPr>
    <w:rPr>
      <w:rFonts w:ascii="仿宋_GB2312" w:eastAsia="仿宋_GB2312"/>
    </w:rPr>
  </w:style>
  <w:style w:type="paragraph" w:styleId="3">
    <w:name w:val="Normal Indent"/>
    <w:basedOn w:val="1"/>
    <w:qFormat/>
    <w:uiPriority w:val="99"/>
    <w:pPr>
      <w:ind w:firstLine="420" w:firstLineChars="200"/>
    </w:pPr>
    <w:rPr>
      <w:rFonts w:eastAsia="仿宋"/>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2021-05-21T03:49:00Z</dcterms:created>
  <dc:creator>201604210947</dc:creator>
  <cp:lastModifiedBy>201604210947</cp:lastModifiedBy>
  <dcterms:modified xsi:type="dcterms:W3CDTF">2021-09-15T04:04:25Z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