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1" w:after="0" w:afterAutospacing="1" w:line="740" w:lineRule="exact"/>
        <w:ind w:left="0" w:right="0"/>
        <w:jc w:val="left"/>
      </w:pPr>
      <w:r>
        <w:rPr>
          <w:rFonts w:ascii="方正小标宋简体" w:hAnsi="方正小标宋简体" w:eastAsia="方正小标宋简体" w:cs="方正小标宋简体"/>
          <w:kern w:val="2"/>
          <w:sz w:val="36"/>
          <w:szCs w:val="36"/>
          <w:lang w:val="en-US" w:eastAsia="zh-CN" w:bidi="ar"/>
        </w:rPr>
        <w:t>附件</w:t>
      </w:r>
      <w:r>
        <w:rPr>
          <w:rFonts w:hint="eastAsia" w:ascii="方正小标宋简体" w:hAnsi="方正小标宋简体" w:eastAsia="方正小标宋简体" w:cs="方正小标宋简体"/>
          <w:kern w:val="2"/>
          <w:sz w:val="36"/>
          <w:szCs w:val="36"/>
          <w:lang w:val="en-US" w:eastAsia="zh-CN" w:bidi="ar"/>
        </w:rPr>
        <w:t>2-3</w:t>
      </w:r>
    </w:p>
    <w:p>
      <w:pPr>
        <w:keepNext w:val="0"/>
        <w:keepLines w:val="0"/>
        <w:widowControl w:val="0"/>
        <w:suppressLineNumbers w:val="0"/>
        <w:autoSpaceDE w:val="0"/>
        <w:autoSpaceDN/>
        <w:spacing w:before="0" w:beforeAutospacing="1" w:after="0" w:afterAutospacing="1" w:line="740" w:lineRule="exact"/>
        <w:ind w:left="0" w:right="0" w:firstLine="556"/>
        <w:jc w:val="center"/>
      </w:pPr>
      <w:r>
        <w:rPr>
          <w:rFonts w:hint="eastAsia" w:ascii="方正小标宋简体" w:hAnsi="方正小标宋简体" w:eastAsia="方正小标宋简体" w:cs="方正小标宋简体"/>
          <w:kern w:val="2"/>
          <w:sz w:val="36"/>
          <w:szCs w:val="36"/>
          <w:lang w:val="en-US" w:eastAsia="zh-CN" w:bidi="ar"/>
        </w:rPr>
        <w:t>大余县侨联2020年度</w:t>
      </w:r>
    </w:p>
    <w:p>
      <w:pPr>
        <w:keepNext w:val="0"/>
        <w:keepLines w:val="0"/>
        <w:widowControl w:val="0"/>
        <w:suppressLineNumbers w:val="0"/>
        <w:autoSpaceDE w:val="0"/>
        <w:autoSpaceDN/>
        <w:spacing w:before="0" w:beforeAutospacing="1" w:after="0" w:afterAutospacing="1" w:line="740" w:lineRule="exact"/>
        <w:ind w:left="0" w:right="0" w:firstLine="556"/>
        <w:jc w:val="center"/>
      </w:pPr>
      <w:r>
        <w:rPr>
          <w:rFonts w:hint="eastAsia" w:ascii="方正小标宋简体" w:hAnsi="方正小标宋简体" w:eastAsia="方正小标宋简体" w:cs="方正小标宋简体"/>
          <w:kern w:val="2"/>
          <w:sz w:val="36"/>
          <w:szCs w:val="36"/>
          <w:lang w:val="en-US" w:eastAsia="zh-CN" w:bidi="ar"/>
        </w:rPr>
        <w:t>项目支出部门评价报告（侨联业务费）</w:t>
      </w:r>
    </w:p>
    <w:p>
      <w:pPr>
        <w:keepNext w:val="0"/>
        <w:keepLines w:val="0"/>
        <w:widowControl/>
        <w:suppressLineNumbers w:val="0"/>
        <w:spacing w:before="0" w:beforeAutospacing="1" w:after="0" w:afterAutospacing="1"/>
        <w:ind w:left="0" w:right="0"/>
        <w:jc w:val="left"/>
      </w:pPr>
      <w:r>
        <w:rPr>
          <w:rFonts w:hint="eastAsia" w:ascii="Calibri" w:hAnsi="Calibri" w:eastAsia="宋体" w:cs="Times New Roman"/>
          <w:kern w:val="2"/>
          <w:sz w:val="21"/>
          <w:szCs w:val="21"/>
          <w:lang w:val="en-US" w:eastAsia="zh-CN" w:bidi="ar"/>
        </w:rPr>
        <w:t> </w:t>
      </w:r>
    </w:p>
    <w:p>
      <w:pPr>
        <w:keepNext w:val="0"/>
        <w:keepLines w:val="0"/>
        <w:widowControl/>
        <w:suppressLineNumbers w:val="0"/>
        <w:spacing w:before="0" w:beforeAutospacing="1" w:after="0" w:afterAutospacing="1"/>
        <w:ind w:left="0" w:right="0"/>
        <w:jc w:val="left"/>
      </w:pPr>
      <w:r>
        <w:rPr>
          <w:rFonts w:ascii="黑体" w:hAnsi="宋体" w:eastAsia="黑体" w:cs="黑体"/>
          <w:kern w:val="2"/>
          <w:sz w:val="32"/>
          <w:szCs w:val="32"/>
          <w:lang w:val="en-US" w:eastAsia="zh-CN" w:bidi="ar"/>
        </w:rPr>
        <w:t>一、基本情况</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ascii="楷体_GB2312" w:eastAsia="楷体_GB2312" w:cs="楷体_GB2312" w:hAnsiTheme="minorHAnsi"/>
          <w:b/>
          <w:bCs/>
          <w:kern w:val="2"/>
          <w:sz w:val="32"/>
          <w:szCs w:val="32"/>
          <w:lang w:val="en-US" w:eastAsia="zh-CN" w:bidi="ar"/>
        </w:rPr>
        <w:t>（一）项目概况。</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ascii="仿宋_GB2312" w:eastAsia="仿宋_GB2312" w:cs="仿宋_GB2312" w:hAnsiTheme="minorHAnsi"/>
          <w:kern w:val="2"/>
          <w:sz w:val="32"/>
          <w:szCs w:val="32"/>
          <w:lang w:val="en-US" w:eastAsia="zh-CN" w:bidi="ar"/>
        </w:rPr>
        <w:t>1.</w:t>
      </w:r>
      <w:r>
        <w:rPr>
          <w:rFonts w:hint="eastAsia" w:ascii="仿宋_GB2312" w:eastAsia="仿宋_GB2312" w:cs="仿宋_GB2312" w:hAnsiTheme="minorHAnsi"/>
          <w:kern w:val="2"/>
          <w:sz w:val="32"/>
          <w:szCs w:val="32"/>
          <w:lang w:val="en-US" w:eastAsia="zh-CN" w:bidi="ar"/>
        </w:rPr>
        <w:t>项目背景、主要内容及实施情况：</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仿宋_GB2312" w:eastAsia="仿宋_GB2312" w:cs="仿宋_GB2312" w:hAnsiTheme="minorHAnsi"/>
          <w:kern w:val="2"/>
          <w:sz w:val="32"/>
          <w:szCs w:val="32"/>
          <w:lang w:val="en-US" w:eastAsia="zh-CN" w:bidi="ar"/>
        </w:rPr>
        <w:t>大余县侨联业务费属于财政拨款项目支出，主要用于侨联2020年开展日常工作所需的经费，如下乡补助、出差补助及差旅经费、办公日常用品购置费用、接待省及各市县来我县开展工作经费、业务经费、单位召开相关会议经费、其他杂项支出经费等。</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2.资金投入和使用情况等：</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大余县侨联业务费2020年的预算经费为3万元，全部属于财政拨款，全部用于下乡补助、出差补助及差旅经费、办公日常用品购置费用、接待省及各市县来我县开展工作经费、业务经费、单位召开相关会议经费等。</w:t>
      </w:r>
    </w:p>
    <w:p>
      <w:pPr>
        <w:keepNext w:val="0"/>
        <w:keepLines w:val="0"/>
        <w:widowControl w:val="0"/>
        <w:numPr>
          <w:numId w:val="0"/>
        </w:numPr>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（二）项目绩效目标。包括总体目标和阶段性目标。</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侨联业务费属于经常性项目，2020年的预算经费为3万元，全部属于财政拨款，用于侨联日常业务支出。</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总体目标：做好侨联日常工作经费安排，保障好办公用品、会议经费、差旅费、下乡费等支出。</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阶段性目标：侨联日常办公用品、会议经费、差旅费、下乡费等支出等得到经费保障。</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二、绩效评价工作开展情况</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（一）绩效评价目的、对象和范围。</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绩效评价目的：严格落实《中华人民共和国预算法》及省、市绩效管理工作的有关规定，进一步规范财政资金的管理，强化财政支出绩效理念，提升部门责任意识，提高资金使用效益。</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绩效评价对象和范围：为进一步强化侨联支出责任，提高侨联业务费使用效益，对侨联业务费，即侨联2020年开展日常工作所需经费的产出指标、效益指标、满意度指标进行绩效评价。</w:t>
      </w:r>
    </w:p>
    <w:p>
      <w:pPr>
        <w:keepNext w:val="0"/>
        <w:keepLines w:val="0"/>
        <w:widowControl/>
        <w:suppressLineNumbers w:val="0"/>
        <w:spacing w:before="0" w:beforeAutospacing="1" w:after="0" w:afterAutospacing="1" w:line="520" w:lineRule="exact"/>
        <w:ind w:left="0" w:right="0" w:firstLine="643" w:firstLineChars="200"/>
        <w:jc w:val="left"/>
      </w:pPr>
      <w:r>
        <w:rPr>
          <w:rFonts w:hint="eastAsia" w:ascii="楷体_GB2312" w:eastAsia="楷体_GB2312" w:cs="楷体_GB2312" w:hAnsiTheme="minorHAnsi"/>
          <w:b/>
          <w:bCs w:val="0"/>
          <w:kern w:val="2"/>
          <w:sz w:val="32"/>
          <w:szCs w:val="32"/>
          <w:lang w:val="en-US" w:eastAsia="zh-CN" w:bidi="ar"/>
        </w:rPr>
        <w:t>（二）绩效评价原则、评价指标体系（附表说明）、评价方法、评价标准等。</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1.绩效评价原则</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本次开展绩效评价遵循科学公正原则、统筹兼顾原则、激励约束原则和公开透明原则。绩效评价过程中严格执行规定的程序，针对具体支出及其产出绩效进行评价，按照科学可行和真实、客观、公正的要求，采用定量与定性分析相结合的方法；依法公开并接受监督。</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2、评价指标体系</w:t>
      </w:r>
    </w:p>
    <w:tbl>
      <w:tblPr>
        <w:tblW w:w="940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fixed"/>
        <w:tblCellMar>
          <w:top w:w="0" w:type="dxa"/>
          <w:left w:w="108" w:type="dxa"/>
          <w:bottom w:w="0" w:type="dxa"/>
          <w:right w:w="108" w:type="dxa"/>
        </w:tblCellMar>
      </w:tblPr>
      <w:tblGrid>
        <w:gridCol w:w="805"/>
        <w:gridCol w:w="1335"/>
        <w:gridCol w:w="1733"/>
        <w:gridCol w:w="2749"/>
        <w:gridCol w:w="2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一级</w:t>
            </w:r>
          </w:p>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二级指标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三级指标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指标说明</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决策</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项目立项</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立项依据充分性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评价项目立项是否符合法律法规、相关政策、发展规划以及部门职责，用以反映和考核项目立项依据情况。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项目立项是否符合国家法律法规、国民经济发展规划和相关政策；项目立项是否与部门职责范围相符，属于部门履职所需；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立项程序规范性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评价项目申请、设立过程是否符合相关要求，用以反映和考核项目立项的规范情况。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项目是否按照规定的程序申请设立；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绩效目标合理性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评价项目所设定的绩效目标是否依据充分，是否符合客观实际，用以反映和考核项目绩效目标与项目实施的相符情况。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项目绩效目标与实际工作内容是否具有相关性；项目预期产出效益和效果是否符合正常的业绩水平；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决策</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绩效目标</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绩效指标明确性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评价依据绩效目标设定的绩效指标是否清晰、细化、可衡量等，用以反映和考核项目绩效目标的明细化情况。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是否将项目绩效目标细化分解为具体的绩效指标；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过程</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资金管理</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资金到位率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评价实际到位资金与预算资金的比率，用以反映和考核资金落实情况对项目实施的总体保障程度。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资金到位率=（实际到位资金/预算资金）×100%。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资金执行率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评价项目预算资金是否按照计划执行，用以反映或考核项目预算执行情况。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预算执行率=（实际支出资金/实际到位资金）×100%。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资金使用合规性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评价项目资金使用是否符合相关的财务管理制度规定，用以反映和考核项目资金的规范运行情况。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是否符合国家财经法规和财务管理制度以及有关专项资金管理办法的规定；是否符合项目预算批复或合同规定的用途；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组织实施</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管理制度健全性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评价项目实施单位的财务和业务管理制度是否健全，用以反映和考核财务和业务管理制度对项目顺利实施的保障情况。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是否已制定或具有相应的财务和业务管理制度；财务和业务管理制度是否合法、合规、完整。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制度执行有效性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评价项目实施是否符合相关管理规定，用以反映和考核相关管理制度的有效执行情况。</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是否遵守相关法律法规和相关管理规定；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left"/>
            </w:pPr>
            <w:r>
              <w:rPr>
                <w:rFonts w:hint="eastAsia" w:ascii="仿宋_GB2312" w:eastAsia="仿宋_GB2312" w:cs="仿宋_GB2312" w:hAnsiTheme="minorHAnsi"/>
                <w:kern w:val="2"/>
                <w:sz w:val="21"/>
                <w:szCs w:val="21"/>
                <w:bdr w:val="none" w:color="auto" w:sz="0" w:space="0"/>
                <w:lang w:val="en-US" w:eastAsia="zh-CN" w:bidi="ar"/>
              </w:rPr>
              <w:t>产出</w:t>
            </w: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产出数量</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评价项目实施的实际产出数与计划产出数的比率，用以反映和考核项目产出数量目标的实现程度。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实际完成率=（实际产出数/计划产出数）×100%。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产出质量</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质量达标率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评价项目完成的质量达标产出数与实际产出数的比率，用以反映和考核项目产出质量目标的实现程度。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质量达标率=（质量达标产出数/实际产出数）×100%。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产出时效</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完成及时性</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评价项目实际完成时间与计划完成时间的比较，用以反映和考核项目产出时效目标的实现程度。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实际完成时间：项目实施单位完成该项目实际所耗用的时间。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产出成本</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成本节约率</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评价完成项目计划工作目标的实际节约成本与计划成本的比率，用以反映和考核项目的成本节约程度。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成本节约率=[（计划成本-实际成本）/计划成本]×100%。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c>
          <w:tcPr>
            <w:tcW w:w="805" w:type="dxa"/>
            <w:vMerge w:val="restart"/>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效益</w:t>
            </w:r>
          </w:p>
        </w:tc>
        <w:tc>
          <w:tcPr>
            <w:tcW w:w="1335" w:type="dxa"/>
            <w:vMerge w:val="restart"/>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项目效益</w:t>
            </w: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实施效益</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评价项目实施所产生的效益。</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项目实施所产生的社会效益、经济效益、生态效益、可持续影响等。可根据项目实际情况有选择地设置和细化。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5"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335" w:type="dxa"/>
            <w:vMerge w:val="continue"/>
            <w:tcBorders>
              <w:top w:val="nil"/>
              <w:left w:val="nil"/>
              <w:bottom w:val="single" w:color="auto" w:sz="4" w:space="0"/>
              <w:right w:val="single" w:color="auto" w:sz="4" w:space="0"/>
            </w:tcBorders>
            <w:shd w:val="clear"/>
            <w:vAlign w:val="center"/>
          </w:tcPr>
          <w:p>
            <w:pPr>
              <w:rPr>
                <w:rFonts w:hint="eastAsia" w:ascii="宋体"/>
                <w:sz w:val="24"/>
                <w:szCs w:val="24"/>
              </w:rPr>
            </w:pPr>
          </w:p>
        </w:tc>
        <w:tc>
          <w:tcPr>
            <w:tcW w:w="1733" w:type="dxa"/>
            <w:tcBorders>
              <w:top w:val="single" w:color="auto" w:sz="4" w:space="0"/>
              <w:left w:val="nil"/>
              <w:bottom w:val="single" w:color="auto" w:sz="4" w:space="0"/>
              <w:right w:val="single" w:color="auto" w:sz="4" w:space="0"/>
            </w:tcBorders>
            <w:shd w:val="clear"/>
            <w:vAlign w:val="top"/>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满意度</w:t>
            </w:r>
          </w:p>
        </w:tc>
        <w:tc>
          <w:tcPr>
            <w:tcW w:w="274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评价社会公众或服务对象对项目实施效果的满意程度。</w:t>
            </w:r>
          </w:p>
        </w:tc>
        <w:tc>
          <w:tcPr>
            <w:tcW w:w="2779" w:type="dxa"/>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仿宋_GB2312" w:eastAsia="仿宋_GB2312" w:cs="仿宋_GB2312" w:hAnsiTheme="minorHAnsi"/>
                <w:kern w:val="2"/>
                <w:sz w:val="21"/>
                <w:szCs w:val="21"/>
                <w:bdr w:val="none" w:color="auto" w:sz="0" w:space="0"/>
                <w:lang w:val="en-US" w:eastAsia="zh-CN" w:bidi="ar"/>
              </w:rPr>
              <w:t>社会公众或服务对象是指因该项目实施而受到影响的部门（单位）、群体或个人。一般采取社会调查的方式。</w:t>
            </w:r>
          </w:p>
        </w:tc>
      </w:tr>
    </w:tbl>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3.评价方法</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根据《项目支出绩效评价管理办法》的规定，本次评价采用定量与定性评价相结合的比较法，总分由各项指标得分汇总形成。</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4.评价标准</w:t>
      </w:r>
    </w:p>
    <w:p>
      <w:pPr>
        <w:keepNext w:val="0"/>
        <w:keepLines w:val="0"/>
        <w:widowControl/>
        <w:suppressLineNumbers w:val="0"/>
        <w:spacing w:before="0" w:beforeAutospacing="1" w:after="0" w:afterAutospacing="1" w:line="520" w:lineRule="exact"/>
        <w:ind w:left="0" w:right="0" w:firstLine="640" w:firstLineChars="200"/>
        <w:jc w:val="left"/>
      </w:pPr>
      <w:r>
        <w:rPr>
          <w:rFonts w:hint="eastAsia" w:ascii="仿宋_GB2312" w:eastAsia="仿宋_GB2312" w:cs="仿宋_GB2312" w:hAnsiTheme="minorHAnsi"/>
          <w:color w:val="000000"/>
          <w:kern w:val="2"/>
          <w:sz w:val="32"/>
          <w:szCs w:val="32"/>
          <w:lang w:val="en-US" w:eastAsia="zh-CN" w:bidi="ar"/>
        </w:rPr>
        <w:t>绩效评价标准通常包括计划标准、行业标准、历史标准等，用于对绩效指标完成情况进行比较。本次采用计划标准进行评价。</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（三）绩效评价工作过程。</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1.前期准备：根据项目实际情况，挑选相关人员组成评价小组，由分管财务领导担任组长，并根据成员的技术专业安排相应评价工作。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2.资金管理。侨联业务费实际到位资金与预算资金相符，预算资金按照计划执行；业务费使用是否符合相关的财务管理制度规定。</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3.组织过程。侨联建立了健全的财务和业务管理制度，符合相关管理规定，管理制度健全性和制度执行有效性均符合标准。</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4.检查与核实。检查各项目的管理工作是否有序开展，并有详实的统计记录，并核对相关材料，确认项目资金使用情况。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6.按照自评方案的要求，对照各实施项目的内容逐条逐项自评。在自评过程发现问题，查找原因，及时纠正偏差，为下一步工作夯实基础。</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三、综合评价情况及评价结论（附相关评分表）</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按照项目绩效任务、目标、管理制度、组织管理情况、项目完成情况、社会经济效益等情况对项目进行综合评价，我单位基本达成预期指标并取得一定的效果，对各项指标进行综合打分，项目综合评价为较好。</w:t>
      </w:r>
    </w:p>
    <w:p>
      <w:pPr>
        <w:keepNext w:val="0"/>
        <w:keepLines w:val="0"/>
        <w:widowControl/>
        <w:suppressLineNumbers w:val="0"/>
        <w:spacing w:before="0" w:beforeAutospacing="1" w:after="0" w:afterAutospacing="1" w:line="520" w:lineRule="exact"/>
        <w:ind w:left="0" w:right="0" w:firstLine="600" w:firstLineChars="200"/>
        <w:jc w:val="left"/>
      </w:pPr>
      <w:r>
        <w:rPr>
          <w:rFonts w:hint="eastAsia" w:ascii="宋体" w:hAnsi="宋体" w:eastAsia="宋体" w:cs="宋体"/>
          <w:kern w:val="2"/>
          <w:sz w:val="30"/>
          <w:szCs w:val="30"/>
          <w:lang w:val="en-US" w:eastAsia="zh-CN" w:bidi="ar"/>
        </w:rPr>
        <w:t>项目总体评价得分100分(评分表见附件2-1)</w:t>
      </w:r>
    </w:p>
    <w:p>
      <w:pPr>
        <w:pStyle w:val="3"/>
        <w:keepNext w:val="0"/>
        <w:keepLines w:val="0"/>
        <w:widowControl/>
        <w:suppressLineNumbers w:val="0"/>
        <w:spacing w:before="0" w:beforeAutospacing="1" w:after="0" w:afterAutospacing="1"/>
        <w:ind w:left="0" w:leftChars="0" w:right="0" w:firstLine="0" w:firstLineChars="0"/>
      </w:pPr>
      <w:r>
        <w:rPr>
          <w:rFonts w:hint="eastAsia" w:ascii="仿宋_GB2312" w:eastAsia="仿宋_GB2312" w:cs="仿宋_GB2312"/>
          <w:kern w:val="2"/>
          <w:sz w:val="32"/>
          <w:szCs w:val="32"/>
        </w:rPr>
        <w:t> </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四、绩效评价指标分析</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（一）项目决策情况。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县侨联组织成立项目绩效评价工作领导小组并制订评价具体指标，对项目的预算、项目任务书和绩效指标完成情况进行小结自评，经项目绩效评价工作小组成员充分讨论后形成项目绩效自评报告。</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（二）项目过程情况。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明确责任，合理分工，密切协作，为项目顺利实施提供了保障。在县侨联全体干部职工的努力下，侨联业务费按预定计划支出，2020年县侨联工作基本完成预期目标。</w:t>
      </w:r>
    </w:p>
    <w:p>
      <w:pPr>
        <w:keepNext w:val="0"/>
        <w:keepLines w:val="0"/>
        <w:widowControl w:val="0"/>
        <w:numPr>
          <w:numId w:val="0"/>
        </w:numPr>
        <w:suppressLineNumbers w:val="0"/>
        <w:autoSpaceDE w:val="0"/>
        <w:autoSpaceDN/>
        <w:spacing w:before="0" w:beforeAutospacing="1" w:after="0" w:afterAutospacing="1"/>
        <w:ind w:left="0" w:leftChars="0" w:right="0" w:firstLine="643" w:firstLineChars="200"/>
        <w:jc w:val="left"/>
      </w:pPr>
      <w:r>
        <w:rPr>
          <w:rFonts w:hint="eastAsia" w:ascii="楷体_GB2312" w:eastAsia="楷体_GB2312" w:cs="楷体_GB2312" w:hAnsiTheme="minorHAnsi"/>
          <w:b/>
          <w:bCs/>
          <w:kern w:val="2"/>
          <w:sz w:val="32"/>
          <w:szCs w:val="32"/>
          <w:lang w:val="en-US" w:eastAsia="zh-CN" w:bidi="ar"/>
        </w:rPr>
        <w:t>（三）项目产出情况。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1.数量指标方面，侨联业务费使用率达到要求。</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2.质量指标方面，侨联业务费使用符合规定，质量达标。</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3.时效指标方面，侨联业务费在2020年12月31日前按时使用完成。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4.成本指标方面，侨联业务费按预算拨款3万元，完成使用。</w:t>
      </w:r>
    </w:p>
    <w:p>
      <w:pPr>
        <w:keepNext w:val="0"/>
        <w:keepLines w:val="0"/>
        <w:widowControl w:val="0"/>
        <w:suppressLineNumbers w:val="0"/>
        <w:autoSpaceDE w:val="0"/>
        <w:autoSpaceDN/>
        <w:spacing w:before="0" w:beforeAutospacing="1" w:after="0" w:afterAutospacing="1"/>
        <w:ind w:left="0" w:right="0" w:firstLine="643" w:firstLineChars="200"/>
        <w:jc w:val="left"/>
      </w:pPr>
      <w:r>
        <w:rPr>
          <w:rFonts w:hint="eastAsia" w:ascii="楷体_GB2312" w:eastAsia="楷体_GB2312" w:cs="楷体_GB2312" w:hAnsiTheme="minorHAnsi"/>
          <w:b/>
          <w:bCs/>
          <w:kern w:val="2"/>
          <w:sz w:val="32"/>
          <w:szCs w:val="32"/>
          <w:lang w:val="en-US" w:eastAsia="zh-CN" w:bidi="ar"/>
        </w:rPr>
        <w:t>（四）项目效益情况。</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1.项目实施的经济效益分析。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该项目严格控制成本，厉行节约，力求将项目的每一分项目经费都用在恰当的地方。2020年县侨联工作经费财政拨款3万元。从项目目标完成情况分析，该项目较好地控制了实施成本，较好地完成了项目支出的任务。</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2.项目实施的社会效益分析。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县侨联业务费属于单位的日常工作经费，按照项目用途来分，2020年县侨联工作经费多用于以下几个方面：</w:t>
      </w:r>
    </w:p>
    <w:p>
      <w:pPr>
        <w:pStyle w:val="3"/>
        <w:keepNext w:val="0"/>
        <w:keepLines w:val="0"/>
        <w:widowControl/>
        <w:numPr>
          <w:numId w:val="0"/>
        </w:numPr>
        <w:suppressLineNumbers w:val="0"/>
        <w:spacing w:before="0" w:beforeAutospacing="1" w:after="0" w:afterAutospacing="1"/>
        <w:ind w:left="0" w:right="0"/>
      </w:pPr>
      <w:r>
        <w:rPr>
          <w:rFonts w:hint="eastAsia" w:ascii="仿宋_GB2312" w:eastAsia="仿宋_GB2312" w:cs="仿宋_GB2312"/>
          <w:kern w:val="2"/>
          <w:sz w:val="32"/>
          <w:szCs w:val="32"/>
        </w:rPr>
        <w:t>（1）召开会议方面。做好大余县侨联会务工作。</w:t>
      </w:r>
    </w:p>
    <w:p>
      <w:pPr>
        <w:pStyle w:val="3"/>
        <w:keepNext w:val="0"/>
        <w:keepLines w:val="0"/>
        <w:widowControl/>
        <w:suppressLineNumbers w:val="0"/>
        <w:spacing w:before="0" w:beforeAutospacing="1" w:after="0" w:afterAutospacing="1"/>
        <w:ind w:left="0" w:right="0" w:firstLine="640" w:firstLineChars="200"/>
      </w:pPr>
      <w:r>
        <w:rPr>
          <w:rFonts w:hint="eastAsia" w:ascii="仿宋_GB2312" w:eastAsia="仿宋_GB2312" w:cs="仿宋_GB2312"/>
          <w:kern w:val="2"/>
          <w:sz w:val="32"/>
          <w:szCs w:val="32"/>
        </w:rPr>
        <w:t>（2）</w:t>
      </w:r>
      <w:r>
        <w:rPr>
          <w:rFonts w:hint="eastAsia" w:ascii="仿宋_GB2312" w:hAnsi="Calibri" w:eastAsia="仿宋_GB2312" w:cs="仿宋_GB2312"/>
          <w:kern w:val="2"/>
          <w:sz w:val="32"/>
          <w:szCs w:val="32"/>
        </w:rPr>
        <w:t>坚持做好侨法宣传工作。</w:t>
      </w:r>
    </w:p>
    <w:p>
      <w:pPr>
        <w:pStyle w:val="3"/>
        <w:keepNext w:val="0"/>
        <w:keepLines w:val="0"/>
        <w:widowControl/>
        <w:suppressLineNumbers w:val="0"/>
        <w:spacing w:before="0" w:beforeAutospacing="1" w:after="0" w:afterAutospacing="1"/>
        <w:ind w:left="0" w:right="0"/>
      </w:pPr>
      <w:r>
        <w:rPr>
          <w:rFonts w:hint="eastAsia" w:ascii="仿宋_GB2312" w:hAnsi="Calibri" w:eastAsia="仿宋_GB2312" w:cs="仿宋_GB2312"/>
          <w:kern w:val="2"/>
          <w:sz w:val="32"/>
          <w:szCs w:val="32"/>
        </w:rPr>
        <w:t>（3）深入推进侨资企业服务年工作。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（4）坚持做好侨情普查工作。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3.项目实施的生态效益分析。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县侨联业务费无生态效益。</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4.项目实施的可持续影响分析。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因侨联工作是一项长期任务，故该项目具有可持续性和长期性的特点。</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5.满意度指标完成情况分析。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侨联业务费的使用满意度为优。</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五、主要经验及做法、存在的问题及原因分析</w:t>
      </w:r>
    </w:p>
    <w:p>
      <w:pPr>
        <w:pStyle w:val="3"/>
        <w:keepNext w:val="0"/>
        <w:keepLines w:val="0"/>
        <w:widowControl/>
        <w:suppressLineNumbers w:val="0"/>
        <w:spacing w:before="0" w:beforeAutospacing="1" w:after="0" w:afterAutospacing="1"/>
        <w:ind w:left="0" w:right="0"/>
      </w:pPr>
      <w:r>
        <w:rPr>
          <w:rFonts w:hint="eastAsia" w:ascii="楷体_GB2312" w:eastAsia="楷体_GB2312" w:cs="楷体_GB2312"/>
          <w:b/>
          <w:bCs/>
          <w:kern w:val="2"/>
          <w:sz w:val="32"/>
          <w:szCs w:val="32"/>
        </w:rPr>
        <w:t>（一）主要经验及做法</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1.加强组织领导。要加强对项目工作的全面领导，便于及时发现项目运行过程中出现的问题并加以改进。县侨联严格按照项目管理制度及财务管理制度实施，加强项目管理和监督，确保项目实施规范。</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2.专款专用。严格按项目规范要求，做到专款专用，确保项目工作顺利开展。项目内所有支出都由报账员把关，再经分管领导审核，最后由主要领导复审。尤其是在“三公”经费支出上，我们贯彻落实上级有关精神，严格控制“三公经费”支出，保证专款专用，无截留、无挪用等现象，取得了良好效果。</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3.加强监督。对日常工作加强规范和监督，防止在项目执行过程中出现偏差。</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4.不断加强学习与交流。2020年我单位加强了与我县归侨侨眷进行学习与交流次数，从中进一步了解了我县归侨侨眷现状。</w:t>
      </w:r>
    </w:p>
    <w:p>
      <w:pPr>
        <w:pStyle w:val="3"/>
        <w:keepNext w:val="0"/>
        <w:keepLines w:val="0"/>
        <w:widowControl/>
        <w:suppressLineNumbers w:val="0"/>
        <w:spacing w:before="0" w:beforeAutospacing="1" w:after="0" w:afterAutospacing="1"/>
        <w:ind w:left="0" w:right="0"/>
      </w:pPr>
      <w:r>
        <w:rPr>
          <w:rFonts w:hint="eastAsia" w:ascii="楷体_GB2312" w:eastAsia="楷体_GB2312" w:cs="楷体_GB2312"/>
          <w:b/>
          <w:bCs/>
          <w:kern w:val="2"/>
          <w:sz w:val="32"/>
          <w:szCs w:val="32"/>
        </w:rPr>
        <w:t>（二）存在问题及分析</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业务经费使用安排不够全面；财务管理制度不够完善，执行力度有待提高。</w:t>
      </w:r>
    </w:p>
    <w:p>
      <w:pPr>
        <w:keepNext w:val="0"/>
        <w:keepLines w:val="0"/>
        <w:widowControl w:val="0"/>
        <w:numPr>
          <w:numId w:val="0"/>
        </w:numPr>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六、有关建议</w:t>
      </w:r>
    </w:p>
    <w:p>
      <w:pPr>
        <w:pStyle w:val="3"/>
        <w:keepNext w:val="0"/>
        <w:keepLines w:val="0"/>
        <w:widowControl/>
        <w:suppressLineNumbers w:val="0"/>
        <w:spacing w:before="0" w:beforeAutospacing="1" w:after="0" w:afterAutospacing="1"/>
        <w:ind w:left="0" w:right="0"/>
      </w:pPr>
      <w:r>
        <w:rPr>
          <w:rFonts w:hint="eastAsia" w:ascii="仿宋_GB2312" w:eastAsia="仿宋_GB2312" w:cs="仿宋_GB2312"/>
          <w:kern w:val="2"/>
          <w:sz w:val="32"/>
          <w:szCs w:val="32"/>
        </w:rPr>
        <w:t>完善并严格执行财务管理制度；紧密结合实际情况，安排业务经费，提高资金使用效率。</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黑体" w:hAnsi="宋体" w:eastAsia="黑体" w:cs="黑体"/>
          <w:kern w:val="2"/>
          <w:sz w:val="32"/>
          <w:szCs w:val="32"/>
          <w:lang w:val="en-US" w:eastAsia="zh-CN" w:bidi="ar"/>
        </w:rPr>
        <w:t>七、其他需要说明的问题</w:t>
      </w:r>
    </w:p>
    <w:p>
      <w:pPr>
        <w:keepNext w:val="0"/>
        <w:keepLines w:val="0"/>
        <w:widowControl w:val="0"/>
        <w:suppressLineNumbers w:val="0"/>
        <w:autoSpaceDE w:val="0"/>
        <w:autoSpaceDN/>
        <w:spacing w:before="0" w:beforeAutospacing="1" w:after="0" w:afterAutospacing="1"/>
        <w:ind w:left="0" w:right="0" w:firstLine="640" w:firstLineChars="200"/>
        <w:jc w:val="left"/>
      </w:pPr>
      <w:r>
        <w:rPr>
          <w:rFonts w:hint="eastAsia" w:ascii="仿宋_GB2312" w:eastAsia="仿宋_GB2312" w:cs="仿宋_GB2312" w:hAnsiTheme="minorHAnsi"/>
          <w:kern w:val="2"/>
          <w:sz w:val="32"/>
          <w:szCs w:val="32"/>
          <w:lang w:val="en-US" w:eastAsia="zh-CN" w:bidi="ar"/>
        </w:rPr>
        <w:t>无</w:t>
      </w:r>
    </w:p>
    <w:p>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6C7AAD"/>
    <w:rsid w:val="0673240D"/>
    <w:rsid w:val="07CB650C"/>
    <w:rsid w:val="0BDB62B8"/>
    <w:rsid w:val="0C3D3702"/>
    <w:rsid w:val="0E063AC5"/>
    <w:rsid w:val="0E6C7AAD"/>
    <w:rsid w:val="17FA4917"/>
    <w:rsid w:val="295A4009"/>
    <w:rsid w:val="32ED62B2"/>
    <w:rsid w:val="4497357D"/>
    <w:rsid w:val="44E17AE5"/>
    <w:rsid w:val="4A570312"/>
    <w:rsid w:val="4B904B3E"/>
    <w:rsid w:val="63935C46"/>
    <w:rsid w:val="658B0A0E"/>
    <w:rsid w:val="72AB7323"/>
    <w:rsid w:val="7C1E3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Normal (Web)"/>
    <w:basedOn w:val="1"/>
    <w:uiPriority w:val="0"/>
    <w:rPr>
      <w:sz w:val="24"/>
    </w:rPr>
  </w:style>
  <w:style w:type="character" w:customStyle="1" w:styleId="6">
    <w:name w:val="font61"/>
    <w:basedOn w:val="5"/>
    <w:qFormat/>
    <w:uiPriority w:val="0"/>
    <w:rPr>
      <w:rFonts w:hint="eastAsia" w:ascii="宋体" w:hAnsi="宋体" w:eastAsia="宋体" w:cs="宋体"/>
      <w:color w:val="000000"/>
      <w:sz w:val="24"/>
      <w:szCs w:val="24"/>
      <w:u w:val="none"/>
    </w:rPr>
  </w:style>
  <w:style w:type="character" w:customStyle="1" w:styleId="7">
    <w:name w:val="font81"/>
    <w:basedOn w:val="5"/>
    <w:uiPriority w:val="0"/>
    <w:rPr>
      <w:rFonts w:hint="eastAsia" w:ascii="宋体" w:hAnsi="宋体" w:eastAsia="宋体" w:cs="宋体"/>
      <w:color w:val="000000"/>
      <w:sz w:val="24"/>
      <w:szCs w:val="24"/>
      <w:u w:val="none"/>
    </w:rPr>
  </w:style>
  <w:style w:type="character" w:customStyle="1" w:styleId="8">
    <w:name w:val="font41"/>
    <w:basedOn w:val="5"/>
    <w:qFormat/>
    <w:uiPriority w:val="0"/>
    <w:rPr>
      <w:rFonts w:hint="eastAsia" w:ascii="宋体" w:hAnsi="宋体" w:eastAsia="宋体" w:cs="宋体"/>
      <w:b/>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2021-05-14T03:55:00Z</dcterms:created>
  <dc:creator>一支栖</dc:creator>
  <cp:lastModifiedBy>Administrator</cp:lastModifiedBy>
  <cp:lastPrinted>2021-05-31T08:11:00Z</cp:lastPrinted>
  <dcterms:modified xsi:type="dcterms:W3CDTF">2024-08-27T01:26:37Z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284C483EFDFD4FB4B75B4BD33F2DEAF9</vt:lpwstr>
  </property>
</Properties>
</file>