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40" w:lineRule="exact"/>
        <w:jc w:val="left"/>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附件2-3</w:t>
      </w:r>
    </w:p>
    <w:p>
      <w:pPr>
        <w:keepNext w:val="0"/>
        <w:keepLines w:val="0"/>
        <w:pageBreakBefore w:val="0"/>
        <w:widowControl w:val="0"/>
        <w:kinsoku/>
        <w:wordWrap/>
        <w:overflowPunct/>
        <w:topLinePunct w:val="0"/>
        <w:autoSpaceDE/>
        <w:autoSpaceDN/>
        <w:bidi w:val="0"/>
        <w:adjustRightInd/>
        <w:snapToGrid/>
        <w:spacing w:line="740" w:lineRule="exact"/>
        <w:ind w:firstLine="556"/>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大余县侨联2020年度</w:t>
      </w:r>
    </w:p>
    <w:p>
      <w:pPr>
        <w:keepNext w:val="0"/>
        <w:keepLines w:val="0"/>
        <w:pageBreakBefore w:val="0"/>
        <w:widowControl w:val="0"/>
        <w:kinsoku/>
        <w:wordWrap/>
        <w:overflowPunct/>
        <w:topLinePunct w:val="0"/>
        <w:autoSpaceDE/>
        <w:autoSpaceDN/>
        <w:bidi w:val="0"/>
        <w:adjustRightInd/>
        <w:snapToGrid/>
        <w:spacing w:line="740" w:lineRule="exact"/>
        <w:ind w:firstLine="556"/>
        <w:jc w:val="center"/>
        <w:textAlignment w:val="auto"/>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rPr>
        <w:t>项目支出部门评价报告</w:t>
      </w:r>
      <w:r>
        <w:rPr>
          <w:rFonts w:hint="eastAsia" w:ascii="方正小标宋简体" w:hAnsi="方正小标宋简体" w:eastAsia="方正小标宋简体" w:cs="方正小标宋简体"/>
          <w:sz w:val="36"/>
          <w:szCs w:val="36"/>
          <w:lang w:eastAsia="zh-CN"/>
        </w:rPr>
        <w:t>（</w:t>
      </w:r>
      <w:r>
        <w:rPr>
          <w:rFonts w:hint="eastAsia" w:ascii="方正小标宋简体" w:hAnsi="方正小标宋简体" w:eastAsia="方正小标宋简体" w:cs="方正小标宋简体"/>
          <w:sz w:val="36"/>
          <w:szCs w:val="36"/>
          <w:lang w:val="en-US" w:eastAsia="zh-CN"/>
        </w:rPr>
        <w:t>侨联业务费</w:t>
      </w:r>
      <w:r>
        <w:rPr>
          <w:rFonts w:hint="eastAsia" w:ascii="方正小标宋简体" w:hAnsi="方正小标宋简体" w:eastAsia="方正小标宋简体" w:cs="方正小标宋简体"/>
          <w:sz w:val="36"/>
          <w:szCs w:val="36"/>
          <w:lang w:eastAsia="zh-CN"/>
        </w:rPr>
        <w:t>）</w:t>
      </w:r>
    </w:p>
    <w:p>
      <w:pPr>
        <w:rPr>
          <w:rFonts w:hint="eastAsia"/>
        </w:rPr>
      </w:pPr>
    </w:p>
    <w:p>
      <w:pPr>
        <w:rPr>
          <w:rFonts w:hint="eastAsia" w:ascii="黑体" w:hAnsi="黑体" w:eastAsia="黑体" w:cs="黑体"/>
          <w:sz w:val="32"/>
          <w:szCs w:val="32"/>
        </w:rPr>
      </w:pPr>
      <w:r>
        <w:rPr>
          <w:rFonts w:hint="eastAsia" w:ascii="黑体" w:hAnsi="黑体" w:eastAsia="黑体" w:cs="黑体"/>
          <w:sz w:val="32"/>
          <w:szCs w:val="32"/>
        </w:rPr>
        <w:t>一、基本情况</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（一）项目概况。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项目背景、主要内容及实施情况</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大余县</w:t>
      </w:r>
      <w:r>
        <w:rPr>
          <w:rFonts w:hint="eastAsia" w:ascii="仿宋_GB2312" w:hAnsi="仿宋_GB2312" w:eastAsia="仿宋_GB2312" w:cs="仿宋_GB2312"/>
          <w:sz w:val="32"/>
          <w:szCs w:val="32"/>
          <w:lang w:eastAsia="zh-CN"/>
        </w:rPr>
        <w:t>侨联</w:t>
      </w:r>
      <w:r>
        <w:rPr>
          <w:rFonts w:hint="eastAsia" w:ascii="仿宋_GB2312" w:hAnsi="仿宋_GB2312" w:eastAsia="仿宋_GB2312" w:cs="仿宋_GB2312"/>
          <w:sz w:val="32"/>
          <w:szCs w:val="32"/>
          <w:lang w:val="en-US" w:eastAsia="zh-CN"/>
        </w:rPr>
        <w:t>业务</w:t>
      </w:r>
      <w:r>
        <w:rPr>
          <w:rFonts w:hint="eastAsia" w:ascii="仿宋_GB2312" w:hAnsi="仿宋_GB2312" w:eastAsia="仿宋_GB2312" w:cs="仿宋_GB2312"/>
          <w:sz w:val="32"/>
          <w:szCs w:val="32"/>
        </w:rPr>
        <w:t>费属于财政拨款项目支出，主要用于</w:t>
      </w:r>
      <w:r>
        <w:rPr>
          <w:rFonts w:hint="eastAsia" w:ascii="仿宋_GB2312" w:hAnsi="仿宋_GB2312" w:eastAsia="仿宋_GB2312" w:cs="仿宋_GB2312"/>
          <w:sz w:val="32"/>
          <w:szCs w:val="32"/>
          <w:lang w:eastAsia="zh-CN"/>
        </w:rPr>
        <w:t>侨联</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年开展日常工作所需的经费，如下乡补助、出差补助及差旅经费、办公日常用品购置费用、接待省及各市县来我</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开展工作经费、业务经费、单位召开相关会议经费、其他杂项支出经费等。</w:t>
      </w:r>
    </w:p>
    <w:p>
      <w:pPr>
        <w:pStyle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资金投入和使用情况</w:t>
      </w:r>
      <w:r>
        <w:rPr>
          <w:rFonts w:hint="eastAsia" w:ascii="仿宋_GB2312" w:hAnsi="仿宋_GB2312" w:eastAsia="仿宋_GB2312" w:cs="仿宋_GB2312"/>
          <w:sz w:val="32"/>
          <w:szCs w:val="32"/>
          <w:lang w:val="en-US" w:eastAsia="zh-CN"/>
        </w:rPr>
        <w:t>等：</w:t>
      </w:r>
    </w:p>
    <w:p>
      <w:pPr>
        <w:pStyle w:val="2"/>
        <w:rPr>
          <w:rFonts w:hint="default" w:eastAsia="仿宋_GB2312"/>
          <w:lang w:val="en-US" w:eastAsia="zh-CN"/>
        </w:rPr>
      </w:pPr>
      <w:r>
        <w:rPr>
          <w:rFonts w:hint="eastAsia" w:ascii="仿宋_GB2312" w:hAnsi="仿宋_GB2312" w:eastAsia="仿宋_GB2312" w:cs="仿宋_GB2312"/>
          <w:sz w:val="32"/>
          <w:szCs w:val="32"/>
          <w:lang w:val="en-US" w:eastAsia="zh-CN"/>
        </w:rPr>
        <w:t>大余县侨联业务费2020年的预算经费为3万元，全部属于财政拨款，全部用于</w:t>
      </w:r>
      <w:r>
        <w:rPr>
          <w:rFonts w:hint="eastAsia" w:ascii="仿宋_GB2312" w:hAnsi="仿宋_GB2312" w:eastAsia="仿宋_GB2312" w:cs="仿宋_GB2312"/>
          <w:sz w:val="32"/>
          <w:szCs w:val="32"/>
        </w:rPr>
        <w:t>下乡补助、出差补助及差旅经费、办公日常用品购置费用、接待省及各市县来我</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开展工作经费、业务经费、单位召开相关会议经费</w:t>
      </w:r>
      <w:r>
        <w:rPr>
          <w:rFonts w:hint="eastAsia" w:ascii="仿宋_GB2312" w:hAnsi="仿宋_GB2312" w:eastAsia="仿宋_GB2312" w:cs="仿宋_GB2312"/>
          <w:sz w:val="32"/>
          <w:szCs w:val="32"/>
          <w:lang w:val="en-US" w:eastAsia="zh-CN"/>
        </w:rPr>
        <w:t>等。</w:t>
      </w:r>
    </w:p>
    <w:p>
      <w:pPr>
        <w:keepNext w:val="0"/>
        <w:keepLines w:val="0"/>
        <w:pageBreakBefore w:val="0"/>
        <w:widowControl w:val="0"/>
        <w:numPr>
          <w:ilvl w:val="0"/>
          <w:numId w:val="1"/>
        </w:numPr>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项目绩效目标。包括总体目标和阶段性目标。</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侨联业务费属于经常性项目，2020年的预算经费为3万元，全部属于财政拨款，用于侨联日常业务支出。</w:t>
      </w:r>
    </w:p>
    <w:p>
      <w:pPr>
        <w:pStyle w:val="2"/>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总体目标：做好侨联日常工作经费安排，保障好办公用品、会议经费、差旅费、下乡费等支出。</w:t>
      </w:r>
    </w:p>
    <w:p>
      <w:pPr>
        <w:pStyle w:val="2"/>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阶段性目标：侨联日常办公用品、会议经费、差旅费、下乡费等支出等得到经费保障。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二、绩效评价工作开展情况</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（一）绩效评价目的、对象和范围。</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绩效评价目的：严格落实《预算法》及省、市绩效管理工作的有关规定，进一步规范财政资金的管理，强化财政支出绩效理念，提升部门责任意识，提高资金使用效益。</w:t>
      </w:r>
    </w:p>
    <w:p>
      <w:pPr>
        <w:pStyle w:val="2"/>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绩效评价对象和范围：为进一步强化侨联支出责任，提高侨联业务费使用效益，对侨联业务费，即侨联2020年开展日常工作所需经费的产出指标、效益指标、满意度指标进行绩效评价。</w:t>
      </w:r>
    </w:p>
    <w:p>
      <w:pPr>
        <w:spacing w:line="520" w:lineRule="exact"/>
        <w:ind w:firstLine="643" w:firstLineChars="200"/>
        <w:rPr>
          <w:rFonts w:hint="eastAsia" w:ascii="楷体_GB2312" w:hAnsi="楷体_GB2312" w:eastAsia="楷体_GB2312" w:cs="楷体_GB2312"/>
          <w:b/>
          <w:bCs w:val="0"/>
          <w:kern w:val="2"/>
          <w:sz w:val="32"/>
          <w:szCs w:val="32"/>
          <w:lang w:val="en-US" w:eastAsia="zh-CN" w:bidi="ar-SA"/>
        </w:rPr>
      </w:pPr>
      <w:r>
        <w:rPr>
          <w:rFonts w:hint="eastAsia" w:ascii="楷体_GB2312" w:hAnsi="楷体_GB2312" w:eastAsia="楷体_GB2312" w:cs="楷体_GB2312"/>
          <w:b/>
          <w:bCs w:val="0"/>
          <w:sz w:val="32"/>
          <w:szCs w:val="32"/>
        </w:rPr>
        <w:t>（二）绩效评价原则、评价指标体系（附表说明）、评价方法、评价标准等。</w:t>
      </w:r>
    </w:p>
    <w:p>
      <w:pPr>
        <w:spacing w:line="52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1.绩效评价原则</w:t>
      </w:r>
    </w:p>
    <w:p>
      <w:pPr>
        <w:spacing w:line="52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本次开展绩效评价遵循科学公正原则、统筹兼顾原则、激励约束原则和公开透明原则。绩效评价过程中严格执行规定的程序，针对具体支出及其产出绩效进行评价，按照科学可行和真实、客观、公正的要求，采用定量与定性分析相结合的方法；依法公开并接受监督。</w:t>
      </w:r>
    </w:p>
    <w:p>
      <w:pPr>
        <w:spacing w:line="52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2、评价指标体系</w:t>
      </w:r>
    </w:p>
    <w:tbl>
      <w:tblPr>
        <w:tblStyle w:val="4"/>
        <w:tblW w:w="940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1335"/>
        <w:gridCol w:w="1733"/>
        <w:gridCol w:w="2749"/>
        <w:gridCol w:w="2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一级</w:t>
            </w:r>
          </w:p>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指标</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二级指标</w:t>
            </w:r>
          </w:p>
        </w:tc>
        <w:tc>
          <w:tcPr>
            <w:tcW w:w="1733"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三级指标</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指标说明</w:t>
            </w:r>
          </w:p>
        </w:tc>
        <w:tc>
          <w:tcPr>
            <w:tcW w:w="27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决策</w:t>
            </w:r>
          </w:p>
        </w:tc>
        <w:tc>
          <w:tcPr>
            <w:tcW w:w="133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项目立项</w:t>
            </w:r>
          </w:p>
        </w:tc>
        <w:tc>
          <w:tcPr>
            <w:tcW w:w="1733"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立项依据充分性</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评价项目立项是否符合法律法规、相关政策、发展规划以及部门职责，用以反映和考核项目立项依据情况。</w:t>
            </w:r>
          </w:p>
        </w:tc>
        <w:tc>
          <w:tcPr>
            <w:tcW w:w="27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项目立项是否符合国家法律法规、国民经济发展规划和相关政策；项目立项是否与部门职责范围相符，属于部门履职所需；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0"/>
                <w:szCs w:val="21"/>
              </w:rPr>
            </w:pPr>
          </w:p>
        </w:tc>
        <w:tc>
          <w:tcPr>
            <w:tcW w:w="13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0"/>
                <w:szCs w:val="21"/>
              </w:rPr>
            </w:pPr>
          </w:p>
        </w:tc>
        <w:tc>
          <w:tcPr>
            <w:tcW w:w="1733"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立项程序规范性</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评价项目申请、设立过程是否符合相关要求，用以反映和考核项目立项的规范情况。</w:t>
            </w:r>
          </w:p>
        </w:tc>
        <w:tc>
          <w:tcPr>
            <w:tcW w:w="27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项目是否按照规定的程序申请设立；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0"/>
                <w:szCs w:val="21"/>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绩效目标</w:t>
            </w:r>
          </w:p>
        </w:tc>
        <w:tc>
          <w:tcPr>
            <w:tcW w:w="1733"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绩效目标合理性</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评价项目所设定的绩效目标是否依据充分，是否符合客观实际，用以反映和考核项目绩效目标与项目实施的相符情况。</w:t>
            </w:r>
          </w:p>
        </w:tc>
        <w:tc>
          <w:tcPr>
            <w:tcW w:w="27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项目绩效目标与实际工作内容是否具有相关性；项目预期产出效益和效果是否符合正常的业绩水平；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决策</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绩效目标</w:t>
            </w:r>
          </w:p>
        </w:tc>
        <w:tc>
          <w:tcPr>
            <w:tcW w:w="1733"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绩效指标明确性</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评价依据绩效目标设定的绩效指标是否清晰、细化、可衡量等，用以反映和考核项目绩效目标的明细化情况。</w:t>
            </w:r>
          </w:p>
        </w:tc>
        <w:tc>
          <w:tcPr>
            <w:tcW w:w="27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是否将项目绩效目标细化分解为具体的绩效指标；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5" w:type="dxa"/>
            <w:vMerge w:val="restart"/>
            <w:tcBorders>
              <w:top w:val="single" w:color="auto" w:sz="4" w:space="0"/>
              <w:left w:val="single" w:color="auto" w:sz="4" w:space="0"/>
              <w:right w:val="single" w:color="auto" w:sz="4" w:space="0"/>
            </w:tcBorders>
            <w:shd w:val="clear" w:color="auto" w:fill="auto"/>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过程</w:t>
            </w:r>
          </w:p>
        </w:tc>
        <w:tc>
          <w:tcPr>
            <w:tcW w:w="133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资金管理</w:t>
            </w:r>
          </w:p>
        </w:tc>
        <w:tc>
          <w:tcPr>
            <w:tcW w:w="1733"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资金到位率</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评价实际到位资金与预算资金的比率，用以反映和考核资金落实情况对项目实施的总体保障程度。</w:t>
            </w:r>
          </w:p>
        </w:tc>
        <w:tc>
          <w:tcPr>
            <w:tcW w:w="27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资金到位率=（实际到位资金/预算资金）×100%。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5" w:type="dxa"/>
            <w:vMerge w:val="continue"/>
            <w:tcBorders>
              <w:left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sz w:val="30"/>
                <w:szCs w:val="21"/>
              </w:rPr>
            </w:pPr>
          </w:p>
        </w:tc>
        <w:tc>
          <w:tcPr>
            <w:tcW w:w="13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0"/>
                <w:szCs w:val="21"/>
              </w:rPr>
            </w:pPr>
          </w:p>
        </w:tc>
        <w:tc>
          <w:tcPr>
            <w:tcW w:w="1733"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资金执行率</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评价项目预算资金是否按照计划执行，用以反映或考核项目预算执行情况。</w:t>
            </w:r>
          </w:p>
        </w:tc>
        <w:tc>
          <w:tcPr>
            <w:tcW w:w="27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预算执行率=（实际支出资金/实际到位资金）×100%。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5" w:type="dxa"/>
            <w:vMerge w:val="continue"/>
            <w:tcBorders>
              <w:left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sz w:val="30"/>
                <w:szCs w:val="21"/>
              </w:rPr>
            </w:pPr>
          </w:p>
        </w:tc>
        <w:tc>
          <w:tcPr>
            <w:tcW w:w="13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0"/>
                <w:szCs w:val="21"/>
              </w:rPr>
            </w:pPr>
          </w:p>
        </w:tc>
        <w:tc>
          <w:tcPr>
            <w:tcW w:w="1733"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资金使用合规性</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评价项目资金使用是否符合相关的财务管理制度规定，用以反映和考核项目资金的规范运行情况。</w:t>
            </w:r>
          </w:p>
        </w:tc>
        <w:tc>
          <w:tcPr>
            <w:tcW w:w="27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是否符合国家财经法规和财务管理制度以及有关专项资金管理办法的规定；是否符合项目预算批复或合同规定的用途；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5" w:type="dxa"/>
            <w:vMerge w:val="continue"/>
            <w:tcBorders>
              <w:left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sz w:val="30"/>
                <w:szCs w:val="21"/>
              </w:rPr>
            </w:pPr>
          </w:p>
        </w:tc>
        <w:tc>
          <w:tcPr>
            <w:tcW w:w="133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组织实施</w:t>
            </w:r>
          </w:p>
        </w:tc>
        <w:tc>
          <w:tcPr>
            <w:tcW w:w="1733"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管理制度健全性</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评价项目实施单位的财务和业务管理制度是否健全，用以反映和考核财务和业务管理制度对项目顺利实施的保障情况。</w:t>
            </w:r>
          </w:p>
        </w:tc>
        <w:tc>
          <w:tcPr>
            <w:tcW w:w="27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是否已制定或具有相应的财务和业务管理制度；财务和业务管理制度是否合法、合规、完整。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5" w:type="dxa"/>
            <w:vMerge w:val="continue"/>
            <w:tcBorders>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sz w:val="30"/>
                <w:szCs w:val="21"/>
              </w:rPr>
            </w:pPr>
          </w:p>
        </w:tc>
        <w:tc>
          <w:tcPr>
            <w:tcW w:w="13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0"/>
                <w:szCs w:val="21"/>
              </w:rPr>
            </w:pPr>
          </w:p>
        </w:tc>
        <w:tc>
          <w:tcPr>
            <w:tcW w:w="1733"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制度执行有效性</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评价项目实施是否符合相关管理规定，用以反映和考核相关管理制度的有效执行情况。</w:t>
            </w:r>
          </w:p>
        </w:tc>
        <w:tc>
          <w:tcPr>
            <w:tcW w:w="27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是否遵守相关法律法规和相关管理规定；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5" w:type="dxa"/>
            <w:vMerge w:val="restart"/>
            <w:tcBorders>
              <w:top w:val="single" w:color="auto" w:sz="4" w:space="0"/>
              <w:left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szCs w:val="21"/>
              </w:rPr>
            </w:pPr>
            <w:r>
              <w:rPr>
                <w:rFonts w:hint="eastAsia" w:ascii="仿宋_GB2312" w:hAnsi="仿宋_GB2312" w:eastAsia="仿宋_GB2312" w:cs="仿宋_GB2312"/>
                <w:szCs w:val="21"/>
              </w:rPr>
              <w:t>产出</w:t>
            </w:r>
          </w:p>
        </w:tc>
        <w:tc>
          <w:tcPr>
            <w:tcW w:w="13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产出数量</w:t>
            </w:r>
          </w:p>
        </w:tc>
        <w:tc>
          <w:tcPr>
            <w:tcW w:w="1733"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实际完成率</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评价项目实施的实际产出数与计划产出数的比率，用以反映和考核项目产出数量目标的实现程度。</w:t>
            </w:r>
          </w:p>
        </w:tc>
        <w:tc>
          <w:tcPr>
            <w:tcW w:w="27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实际完成率=（实际产出数/计划产出数）×100%。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5" w:type="dxa"/>
            <w:vMerge w:val="continue"/>
            <w:tcBorders>
              <w:left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sz w:val="30"/>
                <w:szCs w:val="21"/>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产出质量</w:t>
            </w:r>
          </w:p>
        </w:tc>
        <w:tc>
          <w:tcPr>
            <w:tcW w:w="1733"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质量达标率</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评价项目完成的质量达标产出数与实际产出数的比率，用以反映和考核项目产出质量目标的实现程度。</w:t>
            </w:r>
          </w:p>
        </w:tc>
        <w:tc>
          <w:tcPr>
            <w:tcW w:w="27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质量达标率=（质量达标产出数/实际产出数）×100%。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5" w:type="dxa"/>
            <w:vMerge w:val="continue"/>
            <w:tcBorders>
              <w:left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sz w:val="30"/>
                <w:szCs w:val="21"/>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产出时效</w:t>
            </w:r>
          </w:p>
        </w:tc>
        <w:tc>
          <w:tcPr>
            <w:tcW w:w="1733"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完成及时性</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评价项目实际完成时间与计划完成时间的比较，用以反映和考核项目产出时效目标的实现程度。</w:t>
            </w:r>
          </w:p>
        </w:tc>
        <w:tc>
          <w:tcPr>
            <w:tcW w:w="27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实际完成时间：项目实施单位完成该项目实际所耗用的时间。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5" w:type="dxa"/>
            <w:vMerge w:val="continue"/>
            <w:tcBorders>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仿宋_GB2312" w:eastAsia="仿宋_GB2312" w:cs="仿宋_GB2312"/>
                <w:sz w:val="30"/>
                <w:szCs w:val="21"/>
              </w:rPr>
            </w:pPr>
          </w:p>
        </w:tc>
        <w:tc>
          <w:tcPr>
            <w:tcW w:w="13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产出成本</w:t>
            </w:r>
          </w:p>
        </w:tc>
        <w:tc>
          <w:tcPr>
            <w:tcW w:w="1733"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成本节约率</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评价完成项目计划工作目标的实际节约成本与计划成本的比率，用以反映和考核项目的成本节约程度。</w:t>
            </w:r>
          </w:p>
        </w:tc>
        <w:tc>
          <w:tcPr>
            <w:tcW w:w="27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成本节约率=[（计划成本-实际成本）/计划成本]×100%。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效益</w:t>
            </w:r>
          </w:p>
        </w:tc>
        <w:tc>
          <w:tcPr>
            <w:tcW w:w="133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项目效益</w:t>
            </w:r>
          </w:p>
        </w:tc>
        <w:tc>
          <w:tcPr>
            <w:tcW w:w="1733"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实施效益</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评价项目实施所产生的效益。</w:t>
            </w:r>
          </w:p>
        </w:tc>
        <w:tc>
          <w:tcPr>
            <w:tcW w:w="27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项目实施所产生的社会效益、经济效益、生态效益、可持续影响等。可根据项目实际情况有选择地设置和细化。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0"/>
                <w:szCs w:val="21"/>
              </w:rPr>
            </w:pPr>
          </w:p>
        </w:tc>
        <w:tc>
          <w:tcPr>
            <w:tcW w:w="133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仿宋_GB2312" w:eastAsia="仿宋_GB2312" w:cs="仿宋_GB2312"/>
                <w:sz w:val="30"/>
                <w:szCs w:val="21"/>
              </w:rPr>
            </w:pPr>
          </w:p>
        </w:tc>
        <w:tc>
          <w:tcPr>
            <w:tcW w:w="1733"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满意度</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 w:val="30"/>
                <w:szCs w:val="21"/>
              </w:rPr>
            </w:pPr>
            <w:r>
              <w:rPr>
                <w:rFonts w:hint="eastAsia" w:ascii="仿宋_GB2312" w:hAnsi="仿宋_GB2312" w:eastAsia="仿宋_GB2312" w:cs="仿宋_GB2312"/>
                <w:szCs w:val="21"/>
              </w:rPr>
              <w:t>评价社会公众或服务对象对项目实施效果的满意程度。</w:t>
            </w:r>
          </w:p>
        </w:tc>
        <w:tc>
          <w:tcPr>
            <w:tcW w:w="27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社会公众或服务对象是指因该项目实施而受到影响的部门（单位）、群体或个人。一般采取社会调查的方式。</w:t>
            </w:r>
          </w:p>
        </w:tc>
      </w:tr>
    </w:tbl>
    <w:p>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3.评价方法</w:t>
      </w:r>
    </w:p>
    <w:p>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根据《项目支出绩效评价管理办法》的规定，本次评价采用定量与定性评价相结合的比较法，总分由各项指标得分汇总形成。</w:t>
      </w:r>
    </w:p>
    <w:p>
      <w:pPr>
        <w:spacing w:line="52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4.评价标准</w:t>
      </w:r>
    </w:p>
    <w:p>
      <w:pPr>
        <w:spacing w:line="520" w:lineRule="exact"/>
        <w:ind w:firstLine="640" w:firstLineChars="200"/>
        <w:rPr>
          <w:rFonts w:hint="eastAsia"/>
        </w:rPr>
      </w:pPr>
      <w:r>
        <w:rPr>
          <w:rFonts w:hint="eastAsia" w:ascii="仿宋_GB2312" w:hAnsi="仿宋_GB2312" w:eastAsia="仿宋_GB2312" w:cs="仿宋_GB2312"/>
          <w:color w:val="000000"/>
          <w:sz w:val="32"/>
          <w:szCs w:val="32"/>
        </w:rPr>
        <w:t>绩效评价标准通常包括计划标准、行业标准、历史标准等，用于对绩效指标完成情况进行比较。本次采用计划标准进行评价。</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rPr>
      </w:pPr>
      <w:r>
        <w:rPr>
          <w:rFonts w:hint="eastAsia" w:ascii="楷体_GB2312" w:hAnsi="楷体_GB2312" w:eastAsia="楷体_GB2312" w:cs="楷体_GB2312"/>
          <w:b/>
          <w:bCs/>
          <w:sz w:val="32"/>
          <w:szCs w:val="32"/>
        </w:rPr>
        <w:t>（三）绩效评价工作过程。</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1.前期准备：根据项目实际情况，挑选相关人员组成评价小组，由分管财务领导担任组长，并根据成员的技术专业安排相应评价工作。</w:t>
      </w:r>
    </w:p>
    <w:p>
      <w:pPr>
        <w:pStyle w:val="2"/>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2.资金管理。侨联业务费实际到位资金与预算资金相符，预算资金按照计划执行；业务费使用是否符合相关的财务管理制度规定。</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3.组织过程。侨联建立了健全的财务和业务管理制度，符合相关管理规定，管理制度健全性和制度执行有效性均符合标准。</w:t>
      </w:r>
    </w:p>
    <w:p>
      <w:pPr>
        <w:pStyle w:val="2"/>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w:t>
      </w:r>
      <w:r>
        <w:rPr>
          <w:rFonts w:hint="default" w:ascii="仿宋_GB2312" w:hAnsi="仿宋_GB2312" w:eastAsia="仿宋_GB2312" w:cs="仿宋_GB2312"/>
          <w:kern w:val="2"/>
          <w:sz w:val="32"/>
          <w:szCs w:val="32"/>
          <w:lang w:val="en-US" w:eastAsia="zh-CN" w:bidi="ar-SA"/>
        </w:rPr>
        <w:t>检查</w:t>
      </w:r>
      <w:r>
        <w:rPr>
          <w:rFonts w:hint="eastAsia" w:ascii="仿宋_GB2312" w:hAnsi="仿宋_GB2312" w:eastAsia="仿宋_GB2312" w:cs="仿宋_GB2312"/>
          <w:kern w:val="2"/>
          <w:sz w:val="32"/>
          <w:szCs w:val="32"/>
          <w:lang w:val="en-US" w:eastAsia="zh-CN" w:bidi="ar-SA"/>
        </w:rPr>
        <w:t>与核实。</w:t>
      </w:r>
      <w:r>
        <w:rPr>
          <w:rFonts w:hint="default" w:ascii="仿宋_GB2312" w:hAnsi="仿宋_GB2312" w:eastAsia="仿宋_GB2312" w:cs="仿宋_GB2312"/>
          <w:kern w:val="2"/>
          <w:sz w:val="32"/>
          <w:szCs w:val="32"/>
          <w:lang w:val="en-US" w:eastAsia="zh-CN" w:bidi="ar-SA"/>
        </w:rPr>
        <w:t>检查各项目的管理工作是否有序开展，并有详实的统计记录</w:t>
      </w:r>
      <w:r>
        <w:rPr>
          <w:rFonts w:hint="eastAsia" w:ascii="仿宋_GB2312" w:hAnsi="仿宋_GB2312" w:eastAsia="仿宋_GB2312" w:cs="仿宋_GB2312"/>
          <w:kern w:val="2"/>
          <w:sz w:val="32"/>
          <w:szCs w:val="32"/>
          <w:lang w:val="en-US" w:eastAsia="zh-CN" w:bidi="ar-SA"/>
        </w:rPr>
        <w:t>，并</w:t>
      </w:r>
      <w:r>
        <w:rPr>
          <w:rFonts w:hint="default" w:ascii="仿宋_GB2312" w:hAnsi="仿宋_GB2312" w:eastAsia="仿宋_GB2312" w:cs="仿宋_GB2312"/>
          <w:kern w:val="2"/>
          <w:sz w:val="32"/>
          <w:szCs w:val="32"/>
          <w:lang w:val="en-US" w:eastAsia="zh-CN" w:bidi="ar-SA"/>
        </w:rPr>
        <w:t>核对相关材料，确认项目资金使用情况。</w:t>
      </w:r>
    </w:p>
    <w:p>
      <w:pPr>
        <w:pStyle w:val="2"/>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6.按照自评方案的要求，对照各实施项目的内容逐条逐项自评。在自评过程发现问题，查找原因，及时纠正偏差，为下一步工作夯实基础。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三、综合评价情况及评价结论（附相关评分表）</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按照项目绩效任务、目标、管理制度、组织管理情况、项目完成情况、社会经济效益等情况对项目进行综合评价，我单位基本达成预期指标并取得一定的效果，对各项指标进行综合打分，项目综合评价为较好。</w:t>
      </w:r>
    </w:p>
    <w:p>
      <w:pPr>
        <w:spacing w:line="520" w:lineRule="exact"/>
        <w:ind w:firstLine="600" w:firstLineChars="200"/>
        <w:rPr>
          <w:rFonts w:hint="eastAsia" w:ascii="宋体" w:hAnsi="宋体"/>
          <w:sz w:val="30"/>
          <w:szCs w:val="30"/>
        </w:rPr>
      </w:pPr>
      <w:r>
        <w:rPr>
          <w:rFonts w:hint="eastAsia" w:ascii="宋体" w:hAnsi="宋体"/>
          <w:sz w:val="30"/>
          <w:szCs w:val="30"/>
        </w:rPr>
        <w:t>项目总体评价得分</w:t>
      </w:r>
      <w:r>
        <w:rPr>
          <w:rFonts w:hint="eastAsia" w:ascii="宋体" w:hAnsi="宋体"/>
          <w:sz w:val="30"/>
          <w:szCs w:val="30"/>
          <w:lang w:val="en-US" w:eastAsia="zh-CN"/>
        </w:rPr>
        <w:t>100</w:t>
      </w:r>
      <w:r>
        <w:rPr>
          <w:rFonts w:hint="eastAsia" w:ascii="宋体" w:hAnsi="宋体"/>
          <w:sz w:val="30"/>
          <w:szCs w:val="30"/>
        </w:rPr>
        <w:t>分(评分表</w:t>
      </w:r>
      <w:r>
        <w:rPr>
          <w:rFonts w:hint="eastAsia" w:ascii="宋体" w:hAnsi="宋体"/>
          <w:sz w:val="30"/>
          <w:szCs w:val="30"/>
          <w:lang w:val="en-US" w:eastAsia="zh-CN"/>
        </w:rPr>
        <w:t>见附件2-1</w:t>
      </w:r>
      <w:r>
        <w:rPr>
          <w:rFonts w:hint="eastAsia" w:ascii="宋体" w:hAnsi="宋体"/>
          <w:sz w:val="30"/>
          <w:szCs w:val="30"/>
        </w:rPr>
        <w:t>)</w:t>
      </w:r>
    </w:p>
    <w:p>
      <w:pPr>
        <w:pStyle w:val="2"/>
        <w:ind w:left="0" w:leftChars="0" w:firstLine="0" w:firstLineChars="0"/>
        <w:rPr>
          <w:rFonts w:hint="eastAsia" w:ascii="仿宋_GB2312" w:hAnsi="仿宋_GB2312" w:eastAsia="仿宋_GB2312" w:cs="仿宋_GB2312"/>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四、绩效评价指标分析</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（一）项目决策情况。</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县侨联组织成立项目绩效评价工作领导小组并制订评价具体指标，对项目的预算、项目任务书和绩效指标完成情况进行小结自评，经项目绩效评价工作小组成员充分讨论后形成项目绩效自评报告。</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（二）项目过程情况。</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明确责任，合理分工，密切协作，为项目顺利实施提供了保障。在县侨联</w:t>
      </w:r>
      <w:r>
        <w:rPr>
          <w:rFonts w:hint="default" w:ascii="仿宋_GB2312" w:hAnsi="仿宋_GB2312" w:eastAsia="仿宋_GB2312" w:cs="仿宋_GB2312"/>
          <w:kern w:val="2"/>
          <w:sz w:val="32"/>
          <w:szCs w:val="32"/>
          <w:lang w:val="en-US" w:eastAsia="zh-CN" w:bidi="ar-SA"/>
        </w:rPr>
        <w:t>全体干部职工的努力下，</w:t>
      </w:r>
      <w:r>
        <w:rPr>
          <w:rFonts w:hint="eastAsia" w:ascii="仿宋_GB2312" w:hAnsi="仿宋_GB2312" w:eastAsia="仿宋_GB2312" w:cs="仿宋_GB2312"/>
          <w:kern w:val="2"/>
          <w:sz w:val="32"/>
          <w:szCs w:val="32"/>
          <w:lang w:val="en-US" w:eastAsia="zh-CN" w:bidi="ar-SA"/>
        </w:rPr>
        <w:t>侨联业务</w:t>
      </w:r>
      <w:r>
        <w:rPr>
          <w:rFonts w:hint="default" w:ascii="仿宋_GB2312" w:hAnsi="仿宋_GB2312" w:eastAsia="仿宋_GB2312" w:cs="仿宋_GB2312"/>
          <w:kern w:val="2"/>
          <w:sz w:val="32"/>
          <w:szCs w:val="32"/>
          <w:lang w:val="en-US" w:eastAsia="zh-CN" w:bidi="ar-SA"/>
        </w:rPr>
        <w:t>费按预定计划支出，20</w:t>
      </w:r>
      <w:r>
        <w:rPr>
          <w:rFonts w:hint="eastAsia" w:ascii="仿宋_GB2312" w:hAnsi="仿宋_GB2312" w:eastAsia="仿宋_GB2312" w:cs="仿宋_GB2312"/>
          <w:kern w:val="2"/>
          <w:sz w:val="32"/>
          <w:szCs w:val="32"/>
          <w:lang w:val="en-US" w:eastAsia="zh-CN" w:bidi="ar-SA"/>
        </w:rPr>
        <w:t>20</w:t>
      </w:r>
      <w:r>
        <w:rPr>
          <w:rFonts w:hint="default" w:ascii="仿宋_GB2312" w:hAnsi="仿宋_GB2312" w:eastAsia="仿宋_GB2312" w:cs="仿宋_GB2312"/>
          <w:kern w:val="2"/>
          <w:sz w:val="32"/>
          <w:szCs w:val="32"/>
          <w:lang w:val="en-US" w:eastAsia="zh-CN" w:bidi="ar-SA"/>
        </w:rPr>
        <w:t>年</w:t>
      </w:r>
      <w:r>
        <w:rPr>
          <w:rFonts w:hint="eastAsia" w:ascii="仿宋_GB2312" w:hAnsi="仿宋_GB2312" w:eastAsia="仿宋_GB2312" w:cs="仿宋_GB2312"/>
          <w:kern w:val="2"/>
          <w:sz w:val="32"/>
          <w:szCs w:val="32"/>
          <w:lang w:val="en-US" w:eastAsia="zh-CN" w:bidi="ar-SA"/>
        </w:rPr>
        <w:t>县侨联</w:t>
      </w:r>
      <w:r>
        <w:rPr>
          <w:rFonts w:hint="default" w:ascii="仿宋_GB2312" w:hAnsi="仿宋_GB2312" w:eastAsia="仿宋_GB2312" w:cs="仿宋_GB2312"/>
          <w:kern w:val="2"/>
          <w:sz w:val="32"/>
          <w:szCs w:val="32"/>
          <w:lang w:val="en-US" w:eastAsia="zh-CN" w:bidi="ar-SA"/>
        </w:rPr>
        <w:t>工作基本完成预期目标。</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项目产出情况。</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1.数量指标方面，侨联业务费使用率达到要求。</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2.质量指标方面，侨联业务费使用符合规定，质量达标。</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3.时效指标方面，侨联业务费在2020年12月31日前按时使用完成。</w:t>
      </w:r>
    </w:p>
    <w:p>
      <w:pPr>
        <w:pStyle w:val="2"/>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4.成本指标方面，侨联业务费按预算拨款3万元，完成使用。</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（四）项目效益情况。</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1.项目实施的经济效益分析。</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该项目严格控制成本，厉行节约，力求将项目的每一分项目经费都用在恰当的地方。2020年县侨联工作经费财政拨款3万元。从项目目标完成情况分析，该项目较好地控制了实施成本，较好地完成了项目支出的任务。</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2.项目实施的社会效益分析。</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县侨联业务费属于单位的日常工作经费，按照项目用途来分，2020年县侨联工作经费多用于以下几个方面：</w:t>
      </w:r>
    </w:p>
    <w:p>
      <w:pPr>
        <w:pStyle w:val="2"/>
        <w:numPr>
          <w:ilvl w:val="0"/>
          <w:numId w:val="2"/>
        </w:numPr>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召开会议方面。做好大余县侨联会务工作。</w:t>
      </w:r>
    </w:p>
    <w:p>
      <w:pPr>
        <w:pStyle w:val="2"/>
        <w:numPr>
          <w:numId w:val="0"/>
        </w:numPr>
        <w:ind w:firstLine="640" w:firstLineChars="200"/>
        <w:rPr>
          <w:rFonts w:hint="eastAsia" w:ascii="仿宋_GB2312" w:eastAsia="仿宋_GB2312"/>
          <w:sz w:val="32"/>
          <w:szCs w:val="32"/>
          <w:lang w:val="en-US" w:eastAsia="zh-CN"/>
        </w:rPr>
      </w:pPr>
      <w:r>
        <w:rPr>
          <w:rFonts w:hint="eastAsia" w:ascii="仿宋_GB2312" w:hAnsi="仿宋_GB2312" w:eastAsia="仿宋_GB2312" w:cs="仿宋_GB2312"/>
          <w:kern w:val="2"/>
          <w:sz w:val="32"/>
          <w:szCs w:val="32"/>
          <w:lang w:val="en-US" w:eastAsia="zh-CN" w:bidi="ar-SA"/>
        </w:rPr>
        <w:t>（2）</w:t>
      </w:r>
      <w:r>
        <w:rPr>
          <w:rFonts w:hint="eastAsia" w:ascii="仿宋_GB2312" w:eastAsia="仿宋_GB2312"/>
          <w:sz w:val="32"/>
          <w:szCs w:val="32"/>
          <w:lang w:val="en-US" w:eastAsia="zh-CN"/>
        </w:rPr>
        <w:t>坚持做好侨法宣传工作。</w:t>
      </w:r>
    </w:p>
    <w:p>
      <w:pPr>
        <w:pStyle w:val="2"/>
        <w:rPr>
          <w:rFonts w:hint="eastAsia" w:ascii="仿宋_GB2312" w:eastAsia="仿宋_GB2312" w:cs="宋体"/>
          <w:sz w:val="32"/>
          <w:szCs w:val="32"/>
          <w:lang w:val="en-US" w:eastAsia="zh-CN"/>
        </w:rPr>
      </w:pPr>
      <w:r>
        <w:rPr>
          <w:rFonts w:hint="eastAsia" w:ascii="仿宋_GB2312" w:eastAsia="仿宋_GB2312"/>
          <w:sz w:val="32"/>
          <w:szCs w:val="32"/>
          <w:lang w:val="en-US" w:eastAsia="zh-CN"/>
        </w:rPr>
        <w:t>（3）深入推进</w:t>
      </w:r>
      <w:r>
        <w:rPr>
          <w:rFonts w:hint="eastAsia" w:ascii="仿宋_GB2312" w:eastAsia="仿宋_GB2312" w:cs="宋体"/>
          <w:sz w:val="32"/>
          <w:szCs w:val="32"/>
          <w:lang w:val="en-US" w:eastAsia="zh-CN"/>
        </w:rPr>
        <w:t>侨资企业服务年工作。</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（4）坚持做好侨情普查工作。</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3.项目实施的生态效益分析。</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县侨联业务费无生态效益。</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4.项目实施的可持续影响分析。</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因侨联工作是一项长期任务，故该项目具有可持续性和长期性的特点。</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5.满意度指标完成情况分析。</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侨联业务费的使用满意度为优。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五、主要经验及做法、存在的问题及原因分析</w:t>
      </w:r>
    </w:p>
    <w:p>
      <w:pPr>
        <w:pStyle w:val="2"/>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（一）主要经验及做法</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1.加强组织领导。要加强对项目工作的全面领导，便于及时发现项目运行过程中出现的问题并加以改进。县侨联严格按照项目管理制度及财务管理制度实施，加强项目管理和监督，确保项目实施规范。</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专款专用。严格按项目规范要求，做到专款专用，确保项目工作顺利开展。项目内所有支出都由报账员把关，再经分管领导审核，最后由主要领导复审。尤其是在“三公”经费支出上，我们贯彻落实上级有关精神，严格控制“三公经费”支出，保证专款专用，无截留、无挪用等现象，取得了良好效果。</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3.加强监督。对日常工作加强规范和监督，防止在项目执行过程中出现偏差。</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4.不断加强学习与交流。2020年我单位加强了与我县归侨侨眷进行学习与交流次数，从中进一步了解了我县归侨侨眷现状</w:t>
      </w:r>
      <w:bookmarkStart w:id="0" w:name="_GoBack"/>
      <w:bookmarkEnd w:id="0"/>
      <w:r>
        <w:rPr>
          <w:rFonts w:hint="eastAsia" w:ascii="仿宋_GB2312" w:hAnsi="仿宋_GB2312" w:eastAsia="仿宋_GB2312" w:cs="仿宋_GB2312"/>
          <w:kern w:val="2"/>
          <w:sz w:val="32"/>
          <w:szCs w:val="32"/>
          <w:lang w:val="en-US" w:eastAsia="zh-CN" w:bidi="ar-SA"/>
        </w:rPr>
        <w:t>。</w:t>
      </w:r>
    </w:p>
    <w:p>
      <w:pPr>
        <w:pStyle w:val="2"/>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（二）存在问题及分析</w:t>
      </w:r>
    </w:p>
    <w:p>
      <w:pPr>
        <w:pStyle w:val="2"/>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业务经费使用安排不够全面；财务管理制度不够完善，执行力度有待提高。</w:t>
      </w:r>
    </w:p>
    <w:p>
      <w:pPr>
        <w:keepNext w:val="0"/>
        <w:keepLines w:val="0"/>
        <w:pageBreakBefore w:val="0"/>
        <w:widowControl w:val="0"/>
        <w:numPr>
          <w:ilvl w:val="0"/>
          <w:numId w:val="3"/>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有关建议</w:t>
      </w:r>
    </w:p>
    <w:p>
      <w:pPr>
        <w:pStyle w:val="2"/>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完善并严格执行财务管理制度；紧密结合实际情况，安排业务经费，提高资金使用效率。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七、其他需要说明的问题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ascii="仿宋_GB2312" w:hAnsi="仿宋_GB2312" w:eastAsia="仿宋_GB2312" w:cs="仿宋_GB2312"/>
          <w:sz w:val="32"/>
          <w:szCs w:val="32"/>
          <w:lang w:val="en-US" w:eastAsia="zh-CN"/>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DECDEEA"/>
    <w:multiLevelType w:val="singleLevel"/>
    <w:tmpl w:val="8DECDEEA"/>
    <w:lvl w:ilvl="0" w:tentative="0">
      <w:start w:val="6"/>
      <w:numFmt w:val="chineseCounting"/>
      <w:suff w:val="nothing"/>
      <w:lvlText w:val="%1、"/>
      <w:lvlJc w:val="left"/>
      <w:rPr>
        <w:rFonts w:hint="eastAsia"/>
      </w:rPr>
    </w:lvl>
  </w:abstractNum>
  <w:abstractNum w:abstractNumId="1">
    <w:nsid w:val="9ED89D48"/>
    <w:multiLevelType w:val="singleLevel"/>
    <w:tmpl w:val="9ED89D48"/>
    <w:lvl w:ilvl="0" w:tentative="0">
      <w:start w:val="1"/>
      <w:numFmt w:val="decimal"/>
      <w:suff w:val="nothing"/>
      <w:lvlText w:val="（%1）"/>
      <w:lvlJc w:val="left"/>
    </w:lvl>
  </w:abstractNum>
  <w:abstractNum w:abstractNumId="2">
    <w:nsid w:val="340B5566"/>
    <w:multiLevelType w:val="singleLevel"/>
    <w:tmpl w:val="340B5566"/>
    <w:lvl w:ilvl="0" w:tentative="0">
      <w:start w:val="2"/>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6C7AAD"/>
    <w:rsid w:val="0673240D"/>
    <w:rsid w:val="07CB650C"/>
    <w:rsid w:val="0BDB62B8"/>
    <w:rsid w:val="0E063AC5"/>
    <w:rsid w:val="0E6C7AAD"/>
    <w:rsid w:val="17FA4917"/>
    <w:rsid w:val="295A4009"/>
    <w:rsid w:val="32ED62B2"/>
    <w:rsid w:val="4497357D"/>
    <w:rsid w:val="44E17AE5"/>
    <w:rsid w:val="4A570312"/>
    <w:rsid w:val="4B904B3E"/>
    <w:rsid w:val="72AB7323"/>
    <w:rsid w:val="7C1E35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character" w:customStyle="1" w:styleId="5">
    <w:name w:val="font61"/>
    <w:basedOn w:val="3"/>
    <w:qFormat/>
    <w:uiPriority w:val="0"/>
    <w:rPr>
      <w:rFonts w:hint="eastAsia" w:ascii="宋体" w:hAnsi="宋体" w:eastAsia="宋体" w:cs="宋体"/>
      <w:color w:val="000000"/>
      <w:sz w:val="24"/>
      <w:szCs w:val="24"/>
      <w:u w:val="none"/>
    </w:rPr>
  </w:style>
  <w:style w:type="character" w:customStyle="1" w:styleId="6">
    <w:name w:val="font81"/>
    <w:basedOn w:val="3"/>
    <w:uiPriority w:val="0"/>
    <w:rPr>
      <w:rFonts w:hint="eastAsia" w:ascii="宋体" w:hAnsi="宋体" w:eastAsia="宋体" w:cs="宋体"/>
      <w:color w:val="000000"/>
      <w:sz w:val="24"/>
      <w:szCs w:val="24"/>
      <w:u w:val="none"/>
    </w:rPr>
  </w:style>
  <w:style w:type="character" w:customStyle="1" w:styleId="7">
    <w:name w:val="font41"/>
    <w:basedOn w:val="3"/>
    <w:qFormat/>
    <w:uiPriority w:val="0"/>
    <w:rPr>
      <w:rFonts w:hint="eastAsia" w:ascii="宋体" w:hAnsi="宋体" w:eastAsia="宋体" w:cs="宋体"/>
      <w:b/>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2021-05-14T03:55:00Z</dcterms:created>
  <dc:creator>一支栖</dc:creator>
  <cp:lastModifiedBy>WPS_1599530837</cp:lastModifiedBy>
  <cp:lastPrinted>2021-05-31T08:11:00Z</cp:lastPrinted>
  <dcterms:modified xsi:type="dcterms:W3CDTF">2021-06-03T02:26:00Z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284C483EFDFD4FB4B75B4BD33F2DEAF9</vt:lpwstr>
  </property>
</Properties>
</file>