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092" w:type="dxa"/>
        <w:tblInd w:w="-552" w:type="dxa"/>
        <w:tblLayout w:type="fixed"/>
        <w:tblCellMar>
          <w:top w:w="15" w:type="dxa"/>
          <w:left w:w="15" w:type="dxa"/>
          <w:bottom w:w="15" w:type="dxa"/>
          <w:right w:w="15" w:type="dxa"/>
        </w:tblCellMar>
      </w:tblPr>
      <w:tblGrid>
        <w:gridCol w:w="1346"/>
        <w:gridCol w:w="825"/>
        <w:gridCol w:w="795"/>
        <w:gridCol w:w="1336"/>
        <w:gridCol w:w="3510"/>
        <w:gridCol w:w="1365"/>
        <w:gridCol w:w="915"/>
      </w:tblGrid>
      <w:tr>
        <w:tblPrEx>
          <w:tblCellMar>
            <w:top w:w="15" w:type="dxa"/>
            <w:left w:w="15" w:type="dxa"/>
            <w:bottom w:w="15" w:type="dxa"/>
            <w:right w:w="15" w:type="dxa"/>
          </w:tblCellMar>
        </w:tblPrEx>
        <w:trPr>
          <w:trHeight w:val="286" w:hRule="atLeast"/>
        </w:trPr>
        <w:tc>
          <w:tcPr>
            <w:tcW w:w="10092" w:type="dxa"/>
            <w:gridSpan w:val="7"/>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黑体" w:hAnsi="宋体" w:eastAsia="黑体" w:cs="黑体"/>
                <w:color w:val="000000"/>
                <w:sz w:val="22"/>
                <w:szCs w:val="22"/>
              </w:rPr>
            </w:pPr>
            <w:bookmarkStart w:id="0" w:name="_GoBack"/>
            <w:r>
              <w:rPr>
                <w:rFonts w:ascii="黑体" w:hAnsi="宋体" w:eastAsia="黑体" w:cs="黑体"/>
                <w:caps w:val="0"/>
                <w:color w:val="000000"/>
                <w:spacing w:val="0"/>
                <w:kern w:val="0"/>
                <w:sz w:val="28"/>
                <w:szCs w:val="28"/>
                <w:lang w:val="en-US" w:eastAsia="zh-CN" w:bidi="ar"/>
              </w:rPr>
              <w:t>附件</w:t>
            </w:r>
            <w:r>
              <w:rPr>
                <w:rFonts w:hint="eastAsia" w:ascii="黑体" w:hAnsi="宋体" w:eastAsia="黑体" w:cs="黑体"/>
                <w:caps w:val="0"/>
                <w:color w:val="000000"/>
                <w:spacing w:val="0"/>
                <w:kern w:val="0"/>
                <w:sz w:val="28"/>
                <w:szCs w:val="28"/>
                <w:lang w:val="en-US" w:eastAsia="zh-CN" w:bidi="ar"/>
              </w:rPr>
              <w:t>1</w:t>
            </w:r>
          </w:p>
        </w:tc>
      </w:tr>
      <w:tr>
        <w:tblPrEx>
          <w:tblCellMar>
            <w:top w:w="15" w:type="dxa"/>
            <w:left w:w="15" w:type="dxa"/>
            <w:bottom w:w="15" w:type="dxa"/>
            <w:right w:w="15" w:type="dxa"/>
          </w:tblCellMar>
        </w:tblPrEx>
        <w:trPr>
          <w:trHeight w:val="360" w:hRule="atLeast"/>
        </w:trPr>
        <w:tc>
          <w:tcPr>
            <w:tcW w:w="10092" w:type="dxa"/>
            <w:gridSpan w:val="7"/>
            <w:tcBorders>
              <w:bottom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黑体" w:hAnsi="宋体" w:eastAsia="黑体" w:cs="黑体"/>
                <w:b/>
                <w:color w:val="000000"/>
                <w:sz w:val="32"/>
                <w:szCs w:val="32"/>
              </w:rPr>
            </w:pPr>
            <w:r>
              <w:rPr>
                <w:rFonts w:hint="eastAsia" w:ascii="黑体" w:hAnsi="宋体" w:eastAsia="黑体" w:cs="黑体"/>
                <w:b/>
                <w:bCs/>
                <w:caps w:val="0"/>
                <w:color w:val="000000"/>
                <w:spacing w:val="0"/>
                <w:kern w:val="0"/>
                <w:sz w:val="32"/>
                <w:szCs w:val="32"/>
                <w:lang w:val="en-US" w:eastAsia="zh-CN" w:bidi="ar"/>
              </w:rPr>
              <w:t>单位整体支出绩效评价指标体系评分表</w:t>
            </w:r>
          </w:p>
        </w:tc>
      </w:tr>
      <w:tr>
        <w:tblPrEx>
          <w:tblCellMar>
            <w:top w:w="15" w:type="dxa"/>
            <w:left w:w="15" w:type="dxa"/>
            <w:bottom w:w="15" w:type="dxa"/>
            <w:right w:w="15" w:type="dxa"/>
          </w:tblCellMar>
        </w:tblPrEx>
        <w:trPr>
          <w:trHeight w:val="810" w:hRule="atLeast"/>
        </w:trPr>
        <w:tc>
          <w:tcPr>
            <w:tcW w:w="13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黑体" w:hAnsi="宋体" w:eastAsia="黑体" w:cs="黑体"/>
                <w:color w:val="000000"/>
                <w:sz w:val="22"/>
                <w:szCs w:val="22"/>
              </w:rPr>
            </w:pPr>
            <w:r>
              <w:rPr>
                <w:rFonts w:hint="eastAsia" w:ascii="黑体" w:hAnsi="宋体" w:eastAsia="黑体" w:cs="黑体"/>
                <w:caps w:val="0"/>
                <w:color w:val="000000"/>
                <w:spacing w:val="0"/>
                <w:kern w:val="0"/>
                <w:sz w:val="22"/>
                <w:szCs w:val="22"/>
                <w:lang w:val="en-US" w:eastAsia="zh-CN" w:bidi="ar"/>
              </w:rPr>
              <w:t>一级指标</w:t>
            </w:r>
          </w:p>
        </w:tc>
        <w:tc>
          <w:tcPr>
            <w:tcW w:w="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黑体" w:hAnsi="宋体" w:eastAsia="黑体" w:cs="黑体"/>
                <w:color w:val="000000"/>
                <w:sz w:val="22"/>
                <w:szCs w:val="22"/>
              </w:rPr>
            </w:pPr>
            <w:r>
              <w:rPr>
                <w:rFonts w:hint="eastAsia" w:ascii="黑体" w:hAnsi="宋体" w:eastAsia="黑体" w:cs="黑体"/>
                <w:caps w:val="0"/>
                <w:color w:val="000000"/>
                <w:spacing w:val="0"/>
                <w:kern w:val="0"/>
                <w:sz w:val="22"/>
                <w:szCs w:val="22"/>
                <w:lang w:val="en-US" w:eastAsia="zh-CN" w:bidi="ar"/>
              </w:rPr>
              <w:t>二级指标</w:t>
            </w: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黑体" w:hAnsi="宋体" w:eastAsia="黑体" w:cs="黑体"/>
                <w:color w:val="000000"/>
                <w:sz w:val="22"/>
                <w:szCs w:val="22"/>
              </w:rPr>
            </w:pPr>
            <w:r>
              <w:rPr>
                <w:rFonts w:hint="eastAsia" w:ascii="黑体" w:hAnsi="宋体" w:eastAsia="黑体" w:cs="黑体"/>
                <w:caps w:val="0"/>
                <w:color w:val="000000"/>
                <w:spacing w:val="0"/>
                <w:kern w:val="0"/>
                <w:sz w:val="22"/>
                <w:szCs w:val="22"/>
                <w:lang w:val="en-US" w:eastAsia="zh-CN" w:bidi="ar"/>
              </w:rPr>
              <w:t>三级指标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黑体" w:hAnsi="宋体" w:eastAsia="黑体" w:cs="黑体"/>
                <w:color w:val="000000"/>
                <w:sz w:val="22"/>
                <w:szCs w:val="22"/>
              </w:rPr>
            </w:pPr>
            <w:r>
              <w:rPr>
                <w:rFonts w:hint="eastAsia" w:ascii="黑体" w:hAnsi="宋体" w:eastAsia="黑体" w:cs="黑体"/>
                <w:caps w:val="0"/>
                <w:color w:val="000000"/>
                <w:spacing w:val="0"/>
                <w:kern w:val="0"/>
                <w:sz w:val="22"/>
                <w:szCs w:val="22"/>
                <w:lang w:val="en-US" w:eastAsia="zh-CN" w:bidi="ar"/>
              </w:rPr>
              <w:t>四级指标</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黑体" w:hAnsi="宋体" w:eastAsia="黑体" w:cs="黑体"/>
                <w:color w:val="000000"/>
                <w:sz w:val="22"/>
                <w:szCs w:val="22"/>
              </w:rPr>
            </w:pPr>
            <w:r>
              <w:rPr>
                <w:rFonts w:hint="eastAsia" w:ascii="黑体" w:hAnsi="宋体" w:eastAsia="黑体" w:cs="黑体"/>
                <w:caps w:val="0"/>
                <w:color w:val="000000"/>
                <w:spacing w:val="0"/>
                <w:kern w:val="0"/>
                <w:sz w:val="22"/>
                <w:szCs w:val="22"/>
                <w:lang w:val="en-US" w:eastAsia="zh-CN" w:bidi="ar"/>
              </w:rPr>
              <w:t>评分标准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黑体" w:hAnsi="宋体" w:eastAsia="黑体" w:cs="黑体"/>
                <w:color w:val="000000"/>
                <w:sz w:val="22"/>
                <w:szCs w:val="22"/>
              </w:rPr>
            </w:pPr>
            <w:r>
              <w:rPr>
                <w:rFonts w:hint="eastAsia" w:ascii="黑体" w:hAnsi="宋体" w:eastAsia="黑体" w:cs="黑体"/>
                <w:caps w:val="0"/>
                <w:color w:val="000000"/>
                <w:spacing w:val="0"/>
                <w:kern w:val="0"/>
                <w:sz w:val="22"/>
                <w:szCs w:val="22"/>
                <w:lang w:val="en-US" w:eastAsia="zh-CN" w:bidi="ar"/>
              </w:rPr>
              <w:t>评分依据及简要说明</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黑体" w:hAnsi="宋体" w:eastAsia="黑体" w:cs="黑体"/>
                <w:color w:val="000000"/>
                <w:sz w:val="22"/>
                <w:szCs w:val="22"/>
              </w:rPr>
            </w:pPr>
            <w:r>
              <w:rPr>
                <w:rFonts w:hint="eastAsia" w:ascii="黑体" w:hAnsi="宋体" w:eastAsia="黑体" w:cs="黑体"/>
                <w:caps w:val="0"/>
                <w:color w:val="000000"/>
                <w:spacing w:val="0"/>
                <w:kern w:val="0"/>
                <w:sz w:val="22"/>
                <w:szCs w:val="22"/>
                <w:lang w:val="en-US" w:eastAsia="zh-CN" w:bidi="ar"/>
              </w:rPr>
              <w:t>得分</w:t>
            </w:r>
          </w:p>
        </w:tc>
      </w:tr>
      <w:tr>
        <w:tblPrEx>
          <w:tblCellMar>
            <w:top w:w="15" w:type="dxa"/>
            <w:left w:w="15" w:type="dxa"/>
            <w:bottom w:w="15" w:type="dxa"/>
            <w:right w:w="15" w:type="dxa"/>
          </w:tblCellMar>
        </w:tblPrEx>
        <w:trPr>
          <w:trHeight w:val="1561" w:hRule="atLeast"/>
        </w:trPr>
        <w:tc>
          <w:tcPr>
            <w:tcW w:w="1346"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履职效能（35分）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工作目标（5分）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目标设定（4分）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目标依据充分性（2分）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1230"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工作目标合理性（2分）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①是否符合客观实际是否可实现、可完成；②是否将部门整体的工作目标细化分解，使其为可衡量、可比较。每项达到目标值得1分。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1230"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目标管理（1分）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目标管理有效性（1分）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①是否有对目标进行责任分解的相关工作机制；②目标管理工作机制是否科学、合理，是否能有效保障目标执行和落地。每项达到目标值得0.5分。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1</w:t>
            </w:r>
          </w:p>
        </w:tc>
      </w:tr>
      <w:tr>
        <w:tblPrEx>
          <w:tblCellMar>
            <w:top w:w="15" w:type="dxa"/>
            <w:left w:w="15" w:type="dxa"/>
            <w:bottom w:w="15" w:type="dxa"/>
            <w:right w:w="15" w:type="dxa"/>
          </w:tblCellMar>
        </w:tblPrEx>
        <w:trPr>
          <w:trHeight w:val="960"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tcBorders>
              <w:top w:val="single" w:color="000000" w:sz="4" w:space="0"/>
              <w:left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整体工作（15分）</w:t>
            </w:r>
          </w:p>
        </w:tc>
        <w:tc>
          <w:tcPr>
            <w:tcW w:w="795" w:type="dxa"/>
            <w:tcBorders>
              <w:top w:val="single" w:color="000000" w:sz="4" w:space="0"/>
              <w:left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整体工作完成（15分）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总体工作完成率（15分）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总体工作完成率=单位年度工作要点已完成的数量/单位年度工作要点工作总数量；得分=指标实际完成值×15。</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15</w:t>
            </w:r>
          </w:p>
        </w:tc>
      </w:tr>
      <w:tr>
        <w:tblPrEx>
          <w:tblCellMar>
            <w:top w:w="15" w:type="dxa"/>
            <w:left w:w="15" w:type="dxa"/>
            <w:bottom w:w="15" w:type="dxa"/>
            <w:right w:w="15" w:type="dxa"/>
          </w:tblCellMar>
        </w:tblPrEx>
        <w:trPr>
          <w:trHeight w:val="555"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tcBorders>
              <w:top w:val="single" w:color="000000" w:sz="4" w:space="0"/>
              <w:left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重点工作（15分）</w:t>
            </w: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主体班培训</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主体班培训工作完成率（15分）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按照2018年大余县干部教育培训计划完成培训任务。</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300" w:firstLineChars="0"/>
              <w:jc w:val="left"/>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15</w:t>
            </w:r>
          </w:p>
        </w:tc>
      </w:tr>
      <w:tr>
        <w:tblPrEx>
          <w:tblCellMar>
            <w:top w:w="15" w:type="dxa"/>
            <w:left w:w="15" w:type="dxa"/>
            <w:bottom w:w="15" w:type="dxa"/>
            <w:right w:w="15" w:type="dxa"/>
          </w:tblCellMar>
        </w:tblPrEx>
        <w:trPr>
          <w:trHeight w:val="2161" w:hRule="atLeast"/>
        </w:trPr>
        <w:tc>
          <w:tcPr>
            <w:tcW w:w="134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预算管理（25分）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预算编制（6分）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预算编制完整性（4分）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4</w:t>
            </w:r>
          </w:p>
        </w:tc>
      </w:tr>
      <w:tr>
        <w:tblPrEx>
          <w:tblCellMar>
            <w:top w:w="15" w:type="dxa"/>
            <w:left w:w="15" w:type="dxa"/>
            <w:bottom w:w="15" w:type="dxa"/>
            <w:right w:w="15" w:type="dxa"/>
          </w:tblCellMar>
        </w:tblPrEx>
        <w:trPr>
          <w:trHeight w:val="97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预算科目设置合理性（2分）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①功能科目编制是否科学合理，编制到“项”；②经济科目的编制是否科学合理，编排至“款”。每项达到目标值得1分。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1396"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预算执行（16分）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预算执行率（12分）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预算执行率=（预算执行数/预算数）×100%。得分=指标实际完成值×12。其中，预算执行数指部门本年度实际执行的预算数；预算数指财政部门批复的本年度部门的预算数。</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11</w:t>
            </w:r>
          </w:p>
        </w:tc>
      </w:tr>
      <w:tr>
        <w:tblPrEx>
          <w:tblCellMar>
            <w:top w:w="15" w:type="dxa"/>
            <w:left w:w="15" w:type="dxa"/>
            <w:bottom w:w="15" w:type="dxa"/>
            <w:right w:w="15" w:type="dxa"/>
          </w:tblCellMar>
        </w:tblPrEx>
        <w:trPr>
          <w:trHeight w:val="2761"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预算调整率（2分）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1336"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结转结余变动率（2分）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结转结余变动率=[（本年度累计结转结余资金总额-上年度累计结转结余资金总额）/上年度累计结转结余资金总额]×100%；比率小于等于0，得2分；比率大于0，得0分。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97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部门决算（1分）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部门决算编报质量（1分）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①是否按照相关编审要求报送；②部门决算编报的单位范围和资金范围是否符合相关要求。每项达到目标值得0.5分。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1</w:t>
            </w:r>
          </w:p>
        </w:tc>
      </w:tr>
      <w:tr>
        <w:tblPrEx>
          <w:tblCellMar>
            <w:top w:w="15" w:type="dxa"/>
            <w:left w:w="15" w:type="dxa"/>
            <w:bottom w:w="15" w:type="dxa"/>
            <w:right w:w="15" w:type="dxa"/>
          </w:tblCellMar>
        </w:tblPrEx>
        <w:trPr>
          <w:trHeight w:val="55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预算改革（2分）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三年滚动财政规划（1分）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按文件规定编制了本部门（单位）中期财政规划得1分。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r>
      <w:tr>
        <w:tblPrEx>
          <w:tblCellMar>
            <w:top w:w="15" w:type="dxa"/>
            <w:left w:w="15" w:type="dxa"/>
            <w:bottom w:w="15" w:type="dxa"/>
            <w:right w:w="15" w:type="dxa"/>
          </w:tblCellMar>
        </w:tblPrEx>
        <w:trPr>
          <w:trHeight w:val="55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政府部门财务报告（1分）</w:t>
            </w:r>
          </w:p>
        </w:tc>
        <w:tc>
          <w:tcPr>
            <w:tcW w:w="3510" w:type="dxa"/>
            <w:tcBorders>
              <w:top w:val="single" w:color="000000" w:sz="4" w:space="0"/>
              <w:left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按文件规定编制了政府部门财务报告得1分。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1</w:t>
            </w:r>
          </w:p>
        </w:tc>
      </w:tr>
      <w:tr>
        <w:tblPrEx>
          <w:tblCellMar>
            <w:top w:w="15" w:type="dxa"/>
            <w:left w:w="15" w:type="dxa"/>
            <w:bottom w:w="15" w:type="dxa"/>
            <w:right w:w="15" w:type="dxa"/>
          </w:tblCellMar>
        </w:tblPrEx>
        <w:trPr>
          <w:trHeight w:val="1291"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收支管理（5分）</w:t>
            </w: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收入管理（2分）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收入管理规范性（2分）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财政拨款收入、事业收入、上级补助收入、下属单位上缴收入、经营收入及其他收入管理是否符合财务规定。达到目标值得2分。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810"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支出管理（3分）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支出管理规范性（2分）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基本支出和项目支出是否符合财务规定及相关制度办法的有关规定。达到目标值得2分。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1020"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重点支出结构合理性（1分）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重点项目支出是否合理（重点支出保障率=（重点项目支出/项目总支出）×100%）；得分=指标实际完成值×1。</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1</w:t>
            </w:r>
          </w:p>
        </w:tc>
      </w:tr>
      <w:tr>
        <w:tblPrEx>
          <w:tblCellMar>
            <w:top w:w="15" w:type="dxa"/>
            <w:left w:w="15" w:type="dxa"/>
            <w:bottom w:w="15" w:type="dxa"/>
            <w:right w:w="15" w:type="dxa"/>
          </w:tblCellMar>
        </w:tblPrEx>
        <w:trPr>
          <w:trHeight w:val="1876" w:hRule="atLeast"/>
        </w:trPr>
        <w:tc>
          <w:tcPr>
            <w:tcW w:w="1346"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财务管理（6分）</w:t>
            </w: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制度完备（1.5分）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财务管理制度的完备性（1.5分）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1.5</w:t>
            </w:r>
          </w:p>
        </w:tc>
      </w:tr>
      <w:tr>
        <w:tblPrEx>
          <w:tblCellMar>
            <w:top w:w="15" w:type="dxa"/>
            <w:left w:w="15" w:type="dxa"/>
            <w:bottom w:w="15" w:type="dxa"/>
            <w:right w:w="15" w:type="dxa"/>
          </w:tblCellMar>
        </w:tblPrEx>
        <w:trPr>
          <w:trHeight w:val="840"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采购管理（2分）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政府采购执行率（2分）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政府采购执行率=（实际政府采购金额/政府采购预算数）×100%；得分=指标实际完成值×2。</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2956"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内部控制（2.5分）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内控制度有效性（2.5分）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2161"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资产管理（4分）</w:t>
            </w: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规范管理（2分）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资产管理规范性（2分）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w:t>
            </w:r>
          </w:p>
        </w:tc>
      </w:tr>
      <w:tr>
        <w:tblPrEx>
          <w:tblCellMar>
            <w:top w:w="15" w:type="dxa"/>
            <w:left w:w="15" w:type="dxa"/>
            <w:bottom w:w="15" w:type="dxa"/>
            <w:right w:w="15" w:type="dxa"/>
          </w:tblCellMar>
        </w:tblPrEx>
        <w:trPr>
          <w:trHeight w:val="1035"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有效使用（2分）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部门固定资产利用率（2分）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部门固定资产利用率=（部门实际在用固定资产总额/部门所有固定资产总额）×100%；得分=指标实际完成值×2。</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1.5</w:t>
            </w:r>
          </w:p>
        </w:tc>
      </w:tr>
      <w:tr>
        <w:tblPrEx>
          <w:tblCellMar>
            <w:top w:w="15" w:type="dxa"/>
            <w:left w:w="15" w:type="dxa"/>
            <w:bottom w:w="15" w:type="dxa"/>
            <w:right w:w="15" w:type="dxa"/>
          </w:tblCellMar>
        </w:tblPrEx>
        <w:trPr>
          <w:trHeight w:val="1050"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成本控制（12分）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机构运转成本调控（12分）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一般性支出变动率（5分）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一般性支出变动率=[（本年度一般性支出-上年度一般性支出） /本年度一般性支出]×100%；比率小于等于0，得5分；比率大于0，得0分。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4.5</w:t>
            </w:r>
          </w:p>
        </w:tc>
      </w:tr>
      <w:tr>
        <w:tblPrEx>
          <w:tblCellMar>
            <w:top w:w="15" w:type="dxa"/>
            <w:left w:w="15" w:type="dxa"/>
            <w:bottom w:w="15" w:type="dxa"/>
            <w:right w:w="15" w:type="dxa"/>
          </w:tblCellMar>
        </w:tblPrEx>
        <w:trPr>
          <w:trHeight w:val="990" w:hRule="atLeast"/>
        </w:trPr>
        <w:tc>
          <w:tcPr>
            <w:tcW w:w="1346" w:type="dxa"/>
            <w:vMerge w:val="continue"/>
            <w:tcBorders>
              <w:top w:val="single" w:color="000000" w:sz="4" w:space="0"/>
              <w:left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人均公用经费变动率（3分）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人均公用经费变动率=[（本年度人均公用经费-上年度人均公用经费） /上年度人均公用经费]×100%；比率小于等于0，得3分；比率大于0，得0分。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2.5</w:t>
            </w:r>
          </w:p>
        </w:tc>
      </w:tr>
      <w:tr>
        <w:tblPrEx>
          <w:tblCellMar>
            <w:top w:w="15" w:type="dxa"/>
            <w:left w:w="15" w:type="dxa"/>
            <w:bottom w:w="15" w:type="dxa"/>
            <w:right w:w="15" w:type="dxa"/>
          </w:tblCellMar>
        </w:tblPrEx>
        <w:trPr>
          <w:trHeight w:val="1215" w:hRule="atLeast"/>
        </w:trPr>
        <w:tc>
          <w:tcPr>
            <w:tcW w:w="1346" w:type="dxa"/>
            <w:vMerge w:val="continue"/>
            <w:tcBorders>
              <w:top w:val="single" w:color="000000" w:sz="4" w:space="0"/>
              <w:left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“三公”经费变动率（4分）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“三公”经费变动率=[（本年度“三公”经费总额-上年度“三公”经费总额） /上年度“三公”经费总额]×100%；比率小于等于0，得4分；比率大于0，得0分。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3</w:t>
            </w:r>
          </w:p>
        </w:tc>
      </w:tr>
      <w:tr>
        <w:tblPrEx>
          <w:tblCellMar>
            <w:top w:w="15" w:type="dxa"/>
            <w:left w:w="15" w:type="dxa"/>
            <w:bottom w:w="15" w:type="dxa"/>
            <w:right w:w="15" w:type="dxa"/>
          </w:tblCellMar>
        </w:tblPrEx>
        <w:trPr>
          <w:trHeight w:val="720" w:hRule="atLeast"/>
        </w:trPr>
        <w:tc>
          <w:tcPr>
            <w:tcW w:w="1346"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服务满意（8分）</w:t>
            </w:r>
          </w:p>
        </w:tc>
        <w:tc>
          <w:tcPr>
            <w:tcW w:w="825" w:type="dxa"/>
            <w:tcBorders>
              <w:top w:val="single" w:color="000000" w:sz="4" w:space="0"/>
              <w:left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服务对象满意</w:t>
            </w:r>
          </w:p>
        </w:tc>
        <w:tc>
          <w:tcPr>
            <w:tcW w:w="795" w:type="dxa"/>
            <w:tcBorders>
              <w:top w:val="single" w:color="000000" w:sz="4" w:space="0"/>
              <w:left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公众满意度（4分）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公众满意度百分比</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95%（含）以上计4分；85%（含）-95%，计3分；75%（含）-85%，计1分；低于75%计0分。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color w:val="000000"/>
                <w:sz w:val="20"/>
                <w:szCs w:val="20"/>
                <w:lang w:val="en-US" w:eastAsia="zh-CN"/>
              </w:rPr>
            </w:pPr>
            <w:r>
              <w:rPr>
                <w:rFonts w:hint="eastAsia" w:ascii="宋体" w:hAnsi="宋体" w:eastAsia="宋体" w:cs="宋体"/>
                <w:caps w:val="0"/>
                <w:color w:val="000000"/>
                <w:spacing w:val="0"/>
                <w:kern w:val="0"/>
                <w:sz w:val="20"/>
                <w:szCs w:val="20"/>
                <w:lang w:val="en-US" w:eastAsia="zh-CN" w:bidi="ar"/>
              </w:rPr>
              <w:t>4</w:t>
            </w:r>
          </w:p>
        </w:tc>
      </w:tr>
      <w:tr>
        <w:tblPrEx>
          <w:tblCellMar>
            <w:top w:w="15" w:type="dxa"/>
            <w:left w:w="15" w:type="dxa"/>
            <w:bottom w:w="15" w:type="dxa"/>
            <w:right w:w="15" w:type="dxa"/>
          </w:tblCellMar>
        </w:tblPrEx>
        <w:trPr>
          <w:trHeight w:val="840" w:hRule="atLeast"/>
        </w:trPr>
        <w:tc>
          <w:tcPr>
            <w:tcW w:w="1346" w:type="dxa"/>
            <w:vMerge w:val="continue"/>
            <w:tcBorders>
              <w:top w:val="single" w:color="000000" w:sz="4" w:space="0"/>
              <w:left w:val="single" w:color="000000" w:sz="4" w:space="0"/>
              <w:right w:val="single" w:color="000000" w:sz="4" w:space="0"/>
            </w:tcBorders>
            <w:vAlign w:val="center"/>
          </w:tcPr>
          <w:p>
            <w:pPr>
              <w:rPr>
                <w:rFonts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利益相关方满意</w:t>
            </w: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利益相关方满意度（4分）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社会公众投诉率或投诉次数</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投诉率或投诉次数=0，得4分；投诉率或投诉次数&gt;0，得0分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4</w:t>
            </w:r>
          </w:p>
        </w:tc>
      </w:tr>
      <w:tr>
        <w:tblPrEx>
          <w:tblCellMar>
            <w:top w:w="15" w:type="dxa"/>
            <w:left w:w="15" w:type="dxa"/>
            <w:bottom w:w="15" w:type="dxa"/>
            <w:right w:w="15" w:type="dxa"/>
          </w:tblCellMar>
        </w:tblPrEx>
        <w:trPr>
          <w:trHeight w:val="1110" w:hRule="atLeast"/>
        </w:trPr>
        <w:tc>
          <w:tcPr>
            <w:tcW w:w="13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可持续性（5分）</w:t>
            </w:r>
          </w:p>
        </w:tc>
        <w:tc>
          <w:tcPr>
            <w:tcW w:w="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可持续性影响程度</w:t>
            </w: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持续发挥作用的期限（5分）</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公众受益覆盖面</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受益覆盖面达到95%（含）以上计5分；85%（含）-95%，计3分；75%（含）-85%，计1分；低于75%计0分。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4</w:t>
            </w:r>
          </w:p>
        </w:tc>
      </w:tr>
      <w:tr>
        <w:tblPrEx>
          <w:tblCellMar>
            <w:top w:w="15" w:type="dxa"/>
            <w:left w:w="15" w:type="dxa"/>
            <w:bottom w:w="15" w:type="dxa"/>
            <w:right w:w="15" w:type="dxa"/>
          </w:tblCellMar>
        </w:tblPrEx>
        <w:trPr>
          <w:trHeight w:val="2731" w:hRule="atLeast"/>
        </w:trPr>
        <w:tc>
          <w:tcPr>
            <w:tcW w:w="13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b/>
                <w:color w:val="000000"/>
                <w:sz w:val="20"/>
                <w:szCs w:val="20"/>
              </w:rPr>
            </w:pPr>
            <w:r>
              <w:rPr>
                <w:rFonts w:hint="eastAsia" w:ascii="宋体" w:hAnsi="宋体" w:eastAsia="宋体" w:cs="宋体"/>
                <w:b/>
                <w:bCs/>
                <w:caps w:val="0"/>
                <w:color w:val="000000"/>
                <w:spacing w:val="0"/>
                <w:kern w:val="0"/>
                <w:sz w:val="20"/>
                <w:szCs w:val="20"/>
                <w:lang w:val="en-US" w:eastAsia="zh-CN" w:bidi="ar"/>
              </w:rPr>
              <w:t>减分项</w:t>
            </w:r>
          </w:p>
        </w:tc>
        <w:tc>
          <w:tcPr>
            <w:tcW w:w="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监督检查、审计、绩效评价中发现的问题</w:t>
            </w:r>
          </w:p>
        </w:tc>
        <w:tc>
          <w:tcPr>
            <w:tcW w:w="7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监督检查、审计、绩效评价中发现的问题</w:t>
            </w:r>
          </w:p>
        </w:tc>
        <w:tc>
          <w:tcPr>
            <w:tcW w:w="133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在市级以上组织的监督检查、审计、绩效评价中发现部门资金管理方面存在问题或项目绩效目标未达成的，一个问题扣1分，不重复扣分。</w:t>
            </w:r>
          </w:p>
        </w:tc>
        <w:tc>
          <w:tcPr>
            <w:tcW w:w="35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无</w:t>
            </w:r>
          </w:p>
        </w:tc>
        <w:tc>
          <w:tcPr>
            <w:tcW w:w="13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 </w:t>
            </w:r>
          </w:p>
        </w:tc>
      </w:tr>
      <w:tr>
        <w:tblPrEx>
          <w:tblCellMar>
            <w:top w:w="15" w:type="dxa"/>
            <w:left w:w="15" w:type="dxa"/>
            <w:bottom w:w="15" w:type="dxa"/>
            <w:right w:w="15" w:type="dxa"/>
          </w:tblCellMar>
        </w:tblPrEx>
        <w:trPr>
          <w:trHeight w:val="450" w:hRule="atLeast"/>
        </w:trPr>
        <w:tc>
          <w:tcPr>
            <w:tcW w:w="9177" w:type="dxa"/>
            <w:gridSpan w:val="6"/>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textAlignment w:val="center"/>
              <w:rPr>
                <w:rFonts w:ascii="宋体" w:hAnsi="宋体" w:cs="宋体"/>
                <w:b/>
                <w:color w:val="000000"/>
                <w:sz w:val="20"/>
                <w:szCs w:val="20"/>
              </w:rPr>
            </w:pPr>
            <w:r>
              <w:rPr>
                <w:rFonts w:hint="eastAsia" w:ascii="宋体" w:hAnsi="宋体" w:eastAsia="宋体" w:cs="宋体"/>
                <w:b/>
                <w:bCs/>
                <w:caps w:val="0"/>
                <w:color w:val="000000"/>
                <w:spacing w:val="0"/>
                <w:kern w:val="0"/>
                <w:sz w:val="20"/>
                <w:szCs w:val="20"/>
                <w:lang w:val="en-US" w:eastAsia="zh-CN" w:bidi="ar"/>
              </w:rPr>
              <w:t>总     分</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宋体" w:hAnsi="宋体" w:eastAsia="宋体" w:cs="宋体"/>
                <w:color w:val="000000"/>
                <w:sz w:val="20"/>
                <w:szCs w:val="20"/>
                <w:lang w:val="en-US" w:eastAsia="zh-CN"/>
              </w:rPr>
            </w:pPr>
            <w:r>
              <w:rPr>
                <w:rFonts w:hint="eastAsia" w:ascii="宋体" w:hAnsi="宋体" w:eastAsia="宋体" w:cs="宋体"/>
                <w:caps w:val="0"/>
                <w:color w:val="000000"/>
                <w:spacing w:val="0"/>
                <w:kern w:val="0"/>
                <w:sz w:val="20"/>
                <w:szCs w:val="20"/>
                <w:lang w:val="en-US" w:eastAsia="zh-CN" w:bidi="ar"/>
              </w:rPr>
              <w:t>94</w:t>
            </w:r>
          </w:p>
        </w:tc>
      </w:tr>
      <w:tr>
        <w:tblPrEx>
          <w:tblCellMar>
            <w:top w:w="15" w:type="dxa"/>
            <w:left w:w="15" w:type="dxa"/>
            <w:bottom w:w="15" w:type="dxa"/>
            <w:right w:w="15" w:type="dxa"/>
          </w:tblCellMar>
        </w:tblPrEx>
        <w:trPr>
          <w:trHeight w:val="660" w:hRule="atLeast"/>
        </w:trPr>
        <w:tc>
          <w:tcPr>
            <w:tcW w:w="10092"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textAlignment w:val="center"/>
              <w:rPr>
                <w:rFonts w:ascii="宋体" w:hAnsi="宋体" w:cs="宋体"/>
                <w:color w:val="000000"/>
                <w:sz w:val="20"/>
                <w:szCs w:val="20"/>
              </w:rPr>
            </w:pPr>
            <w:r>
              <w:rPr>
                <w:rFonts w:hint="eastAsia" w:ascii="宋体" w:hAnsi="宋体" w:eastAsia="宋体" w:cs="宋体"/>
                <w:caps w:val="0"/>
                <w:color w:val="000000"/>
                <w:spacing w:val="0"/>
                <w:kern w:val="0"/>
                <w:sz w:val="20"/>
                <w:szCs w:val="20"/>
                <w:lang w:val="en-US" w:eastAsia="zh-CN" w:bidi="ar"/>
              </w:rPr>
              <w:t>注：重点工作、服务满意、可持续性这三项单位根据年初目标实际情况设定指标和评分标准。</w:t>
            </w:r>
          </w:p>
        </w:tc>
      </w:tr>
      <w:bookmarkEnd w:id="0"/>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EzNWQyOGRiYTM1ZmI4Y2M2YzMxMjZiYjE4MjYxNzMifQ=="/>
  </w:docVars>
  <w:rsids>
    <w:rsidRoot w:val="00E7240A"/>
    <w:rsid w:val="00135E73"/>
    <w:rsid w:val="00666C22"/>
    <w:rsid w:val="00761DD3"/>
    <w:rsid w:val="00B048D4"/>
    <w:rsid w:val="00C55175"/>
    <w:rsid w:val="00E7240A"/>
    <w:rsid w:val="20C64AD8"/>
    <w:rsid w:val="32C631D2"/>
    <w:rsid w:val="35A3402B"/>
    <w:rsid w:val="5D5F4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2702</Words>
  <Characters>2838</Characters>
  <Lines>21</Lines>
  <Paragraphs>6</Paragraphs>
  <TotalTime>0</TotalTime>
  <ScaleCrop>false</ScaleCrop>
  <LinksUpToDate>false</LinksUpToDate>
  <CharactersWithSpaces>2846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2021-05-14T07:31:00Z</dcterms:created>
  <dc:creator>微软用户</dc:creator>
  <cp:lastModifiedBy>Administrator</cp:lastModifiedBy>
  <dcterms:modified xsi:type="dcterms:W3CDTF">2025-01-20T03:31:26Z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504D5634FA3F46D383F488956557226A</vt:lpwstr>
  </property>
</Properties>
</file>