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0092" w:type="dxa"/>
        <w:tblInd w:w="-552" w:type="dxa"/>
        <w:tblLayout w:type="fixed"/>
        <w:tblCellMar>
          <w:top w:w="15" w:type="dxa"/>
          <w:left w:w="15" w:type="dxa"/>
          <w:bottom w:w="15" w:type="dxa"/>
          <w:right w:w="15" w:type="dxa"/>
        </w:tblCellMar>
      </w:tblPr>
      <w:tblGrid>
        <w:gridCol w:w="1346"/>
        <w:gridCol w:w="825"/>
        <w:gridCol w:w="795"/>
        <w:gridCol w:w="1336"/>
        <w:gridCol w:w="3510"/>
        <w:gridCol w:w="1365"/>
        <w:gridCol w:w="915"/>
      </w:tblGrid>
      <w:tr>
        <w:tblPrEx>
          <w:tblCellMar>
            <w:top w:w="15" w:type="dxa"/>
            <w:left w:w="15" w:type="dxa"/>
            <w:bottom w:w="15" w:type="dxa"/>
            <w:right w:w="15" w:type="dxa"/>
          </w:tblCellMar>
        </w:tblPrEx>
        <w:trPr>
          <w:trHeight w:val="286" w:hRule="atLeast"/>
        </w:trPr>
        <w:tc>
          <w:tcPr>
            <w:tcW w:w="10092" w:type="dxa"/>
            <w:gridSpan w:val="7"/>
            <w:vAlign w:val="center"/>
          </w:tcPr>
          <w:p>
            <w:pPr>
              <w:widowControl/>
              <w:jc w:val="left"/>
              <w:textAlignment w:val="center"/>
              <w:rPr>
                <w:rFonts w:ascii="黑体" w:hAnsi="宋体" w:eastAsia="黑体" w:cs="黑体"/>
                <w:color w:val="000000"/>
                <w:sz w:val="22"/>
                <w:szCs w:val="22"/>
              </w:rPr>
            </w:pPr>
            <w:r>
              <w:rPr>
                <w:rFonts w:hint="eastAsia" w:ascii="黑体" w:hAnsi="宋体" w:eastAsia="黑体" w:cs="黑体"/>
                <w:color w:val="000000"/>
                <w:kern w:val="0"/>
                <w:sz w:val="28"/>
                <w:szCs w:val="28"/>
              </w:rPr>
              <w:t>附件1</w:t>
            </w:r>
          </w:p>
        </w:tc>
      </w:tr>
      <w:tr>
        <w:tblPrEx>
          <w:tblCellMar>
            <w:top w:w="15" w:type="dxa"/>
            <w:left w:w="15" w:type="dxa"/>
            <w:bottom w:w="15" w:type="dxa"/>
            <w:right w:w="15" w:type="dxa"/>
          </w:tblCellMar>
        </w:tblPrEx>
        <w:trPr>
          <w:trHeight w:val="360" w:hRule="atLeast"/>
        </w:trPr>
        <w:tc>
          <w:tcPr>
            <w:tcW w:w="10092" w:type="dxa"/>
            <w:gridSpan w:val="7"/>
            <w:tcBorders>
              <w:bottom w:val="single" w:color="000000" w:sz="4" w:space="0"/>
            </w:tcBorders>
            <w:vAlign w:val="center"/>
          </w:tcPr>
          <w:p>
            <w:pPr>
              <w:widowControl/>
              <w:jc w:val="center"/>
              <w:textAlignment w:val="center"/>
              <w:rPr>
                <w:rFonts w:ascii="黑体" w:hAnsi="宋体" w:eastAsia="黑体" w:cs="黑体"/>
                <w:b/>
                <w:color w:val="000000"/>
                <w:sz w:val="32"/>
                <w:szCs w:val="32"/>
              </w:rPr>
            </w:pPr>
            <w:r>
              <w:rPr>
                <w:rFonts w:hint="eastAsia" w:ascii="黑体" w:hAnsi="宋体" w:eastAsia="黑体" w:cs="黑体"/>
                <w:b/>
                <w:color w:val="000000"/>
                <w:kern w:val="0"/>
                <w:sz w:val="32"/>
                <w:szCs w:val="32"/>
                <w:lang w:eastAsia="zh-CN"/>
              </w:rPr>
              <w:t>单位</w:t>
            </w:r>
            <w:r>
              <w:rPr>
                <w:rFonts w:hint="eastAsia" w:ascii="黑体" w:hAnsi="宋体" w:eastAsia="黑体" w:cs="黑体"/>
                <w:b/>
                <w:color w:val="000000"/>
                <w:kern w:val="0"/>
                <w:sz w:val="32"/>
                <w:szCs w:val="32"/>
              </w:rPr>
              <w:t>整体支出绩效评价指标体系评分表</w:t>
            </w:r>
          </w:p>
        </w:tc>
      </w:tr>
      <w:tr>
        <w:tblPrEx>
          <w:tblCellMar>
            <w:top w:w="15" w:type="dxa"/>
            <w:left w:w="15" w:type="dxa"/>
            <w:bottom w:w="15" w:type="dxa"/>
            <w:right w:w="15" w:type="dxa"/>
          </w:tblCellMar>
        </w:tblPrEx>
        <w:trPr>
          <w:trHeight w:val="810" w:hRule="atLeast"/>
        </w:trPr>
        <w:tc>
          <w:tcPr>
            <w:tcW w:w="13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2"/>
                <w:szCs w:val="22"/>
              </w:rPr>
            </w:pPr>
            <w:r>
              <w:rPr>
                <w:rFonts w:hint="eastAsia" w:ascii="黑体" w:hAnsi="宋体" w:eastAsia="黑体" w:cs="黑体"/>
                <w:color w:val="000000"/>
                <w:kern w:val="0"/>
                <w:sz w:val="22"/>
                <w:szCs w:val="22"/>
              </w:rPr>
              <w:t>一级指标</w:t>
            </w:r>
          </w:p>
        </w:tc>
        <w:tc>
          <w:tcPr>
            <w:tcW w:w="8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2"/>
                <w:szCs w:val="22"/>
              </w:rPr>
            </w:pPr>
            <w:r>
              <w:rPr>
                <w:rFonts w:hint="eastAsia" w:ascii="黑体" w:hAnsi="宋体" w:eastAsia="黑体" w:cs="黑体"/>
                <w:color w:val="000000"/>
                <w:kern w:val="0"/>
                <w:sz w:val="22"/>
                <w:szCs w:val="22"/>
              </w:rPr>
              <w:t>二级指标</w:t>
            </w: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2"/>
                <w:szCs w:val="22"/>
              </w:rPr>
            </w:pPr>
            <w:r>
              <w:rPr>
                <w:rFonts w:hint="eastAsia" w:ascii="黑体" w:hAnsi="宋体" w:eastAsia="黑体" w:cs="黑体"/>
                <w:color w:val="000000"/>
                <w:kern w:val="0"/>
                <w:sz w:val="22"/>
                <w:szCs w:val="22"/>
              </w:rPr>
              <w:t>三级指标</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2"/>
                <w:szCs w:val="22"/>
              </w:rPr>
            </w:pPr>
            <w:r>
              <w:rPr>
                <w:rFonts w:hint="eastAsia" w:ascii="黑体" w:hAnsi="宋体" w:eastAsia="黑体" w:cs="黑体"/>
                <w:color w:val="000000"/>
                <w:kern w:val="0"/>
                <w:sz w:val="22"/>
                <w:szCs w:val="22"/>
              </w:rPr>
              <w:t>四级指标</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2"/>
                <w:szCs w:val="22"/>
              </w:rPr>
            </w:pPr>
            <w:r>
              <w:rPr>
                <w:rFonts w:hint="eastAsia" w:ascii="黑体" w:hAnsi="宋体" w:eastAsia="黑体" w:cs="黑体"/>
                <w:color w:val="000000"/>
                <w:kern w:val="0"/>
                <w:sz w:val="22"/>
                <w:szCs w:val="22"/>
              </w:rPr>
              <w:t>评分标准</w:t>
            </w:r>
          </w:p>
        </w:tc>
        <w:tc>
          <w:tcPr>
            <w:tcW w:w="136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2"/>
                <w:szCs w:val="22"/>
              </w:rPr>
            </w:pPr>
            <w:r>
              <w:rPr>
                <w:rFonts w:hint="eastAsia" w:ascii="黑体" w:hAnsi="宋体" w:eastAsia="黑体" w:cs="黑体"/>
                <w:color w:val="000000"/>
                <w:kern w:val="0"/>
                <w:sz w:val="22"/>
                <w:szCs w:val="22"/>
              </w:rPr>
              <w:t>评分依据及简要说明</w:t>
            </w: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黑体"/>
                <w:color w:val="000000"/>
                <w:sz w:val="22"/>
                <w:szCs w:val="22"/>
              </w:rPr>
            </w:pPr>
            <w:r>
              <w:rPr>
                <w:rFonts w:hint="eastAsia" w:ascii="黑体" w:hAnsi="宋体" w:eastAsia="黑体" w:cs="黑体"/>
                <w:color w:val="000000"/>
                <w:kern w:val="0"/>
                <w:sz w:val="22"/>
                <w:szCs w:val="22"/>
              </w:rPr>
              <w:t>得分</w:t>
            </w:r>
          </w:p>
        </w:tc>
      </w:tr>
      <w:tr>
        <w:tblPrEx>
          <w:tblCellMar>
            <w:top w:w="15" w:type="dxa"/>
            <w:left w:w="15" w:type="dxa"/>
            <w:bottom w:w="15" w:type="dxa"/>
            <w:right w:w="15" w:type="dxa"/>
          </w:tblCellMar>
        </w:tblPrEx>
        <w:trPr>
          <w:trHeight w:val="1561" w:hRule="atLeast"/>
        </w:trPr>
        <w:tc>
          <w:tcPr>
            <w:tcW w:w="1346"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履职效能（35分）</w:t>
            </w:r>
          </w:p>
        </w:tc>
        <w:tc>
          <w:tcPr>
            <w:tcW w:w="82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工作目标（5分）</w:t>
            </w:r>
          </w:p>
        </w:tc>
        <w:tc>
          <w:tcPr>
            <w:tcW w:w="79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目标设定（4分）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目标依据充分性（2分）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①是否依据法律法规、社会经济发展的总体规划设定；②是否符合部门“三定”方案确定的部门工作职责；③是否符合部门制定的中长期规划及年度工作计划；④是否具有科学性和前瞻性。每项达到目标值得0.5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2</w:t>
            </w:r>
          </w:p>
        </w:tc>
      </w:tr>
      <w:tr>
        <w:tblPrEx>
          <w:tblCellMar>
            <w:top w:w="15" w:type="dxa"/>
            <w:left w:w="15" w:type="dxa"/>
            <w:bottom w:w="15" w:type="dxa"/>
            <w:right w:w="15" w:type="dxa"/>
          </w:tblCellMar>
        </w:tblPrEx>
        <w:trPr>
          <w:trHeight w:val="1230" w:hRule="atLeast"/>
        </w:trPr>
        <w:tc>
          <w:tcPr>
            <w:tcW w:w="1346" w:type="dxa"/>
            <w:vMerge w:val="continue"/>
            <w:tcBorders>
              <w:top w:val="single" w:color="000000" w:sz="4" w:space="0"/>
              <w:left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7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工作目标合理性（2分）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①是否符合客观实际是否可实现、可完成；②是否将部门整体的工作目标细化分解，使其为可衡量、可比较。每项达到目标值得1分。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2</w:t>
            </w:r>
          </w:p>
        </w:tc>
      </w:tr>
      <w:tr>
        <w:tblPrEx>
          <w:tblCellMar>
            <w:top w:w="15" w:type="dxa"/>
            <w:left w:w="15" w:type="dxa"/>
            <w:bottom w:w="15" w:type="dxa"/>
            <w:right w:w="15" w:type="dxa"/>
          </w:tblCellMar>
        </w:tblPrEx>
        <w:trPr>
          <w:trHeight w:val="1230" w:hRule="atLeast"/>
        </w:trPr>
        <w:tc>
          <w:tcPr>
            <w:tcW w:w="1346" w:type="dxa"/>
            <w:vMerge w:val="continue"/>
            <w:tcBorders>
              <w:top w:val="single" w:color="000000" w:sz="4" w:space="0"/>
              <w:left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目标管理（1分）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目标管理有效性（1分）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①是否有对目标进行责任分解的相关工作机制；②目标管理工作机制是否科学、合理，是否能有效保障目标执</w:t>
            </w:r>
            <w:bookmarkStart w:id="0" w:name="_GoBack"/>
            <w:bookmarkEnd w:id="0"/>
            <w:r>
              <w:rPr>
                <w:rFonts w:hint="eastAsia" w:ascii="宋体" w:hAnsi="宋体" w:cs="宋体"/>
                <w:color w:val="000000"/>
                <w:kern w:val="0"/>
                <w:sz w:val="20"/>
                <w:szCs w:val="20"/>
              </w:rPr>
              <w:t>行和落地。每项达到目标值得0.5分。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1</w:t>
            </w:r>
          </w:p>
        </w:tc>
      </w:tr>
      <w:tr>
        <w:tblPrEx>
          <w:tblCellMar>
            <w:top w:w="15" w:type="dxa"/>
            <w:left w:w="15" w:type="dxa"/>
            <w:bottom w:w="15" w:type="dxa"/>
            <w:right w:w="15" w:type="dxa"/>
          </w:tblCellMar>
        </w:tblPrEx>
        <w:trPr>
          <w:trHeight w:val="960" w:hRule="atLeast"/>
        </w:trPr>
        <w:tc>
          <w:tcPr>
            <w:tcW w:w="1346" w:type="dxa"/>
            <w:vMerge w:val="continue"/>
            <w:tcBorders>
              <w:top w:val="single" w:color="000000" w:sz="4" w:space="0"/>
              <w:left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整体工作（15分）</w:t>
            </w:r>
          </w:p>
        </w:tc>
        <w:tc>
          <w:tcPr>
            <w:tcW w:w="795"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整体工作完成（15分）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总体工作完成率（15分）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总体工作完成率=单位年度工作要点已完成的数量/单位年度工作要点工作总数量；得分=指标实际完成值×15。</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15</w:t>
            </w:r>
          </w:p>
        </w:tc>
      </w:tr>
      <w:tr>
        <w:tblPrEx>
          <w:tblCellMar>
            <w:top w:w="15" w:type="dxa"/>
            <w:left w:w="15" w:type="dxa"/>
            <w:bottom w:w="15" w:type="dxa"/>
            <w:right w:w="15" w:type="dxa"/>
          </w:tblCellMar>
        </w:tblPrEx>
        <w:trPr>
          <w:trHeight w:val="555" w:hRule="atLeast"/>
        </w:trPr>
        <w:tc>
          <w:tcPr>
            <w:tcW w:w="1346" w:type="dxa"/>
            <w:vMerge w:val="continue"/>
            <w:tcBorders>
              <w:top w:val="single" w:color="000000" w:sz="4" w:space="0"/>
              <w:left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重点工作（15分）</w:t>
            </w:r>
          </w:p>
        </w:tc>
        <w:tc>
          <w:tcPr>
            <w:tcW w:w="79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主体班培训</w:t>
            </w:r>
          </w:p>
        </w:tc>
        <w:tc>
          <w:tcPr>
            <w:tcW w:w="133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主体班培训工作完成率（15分）</w:t>
            </w:r>
          </w:p>
        </w:tc>
        <w:tc>
          <w:tcPr>
            <w:tcW w:w="351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cs="宋体"/>
                <w:color w:val="000000"/>
                <w:sz w:val="20"/>
                <w:szCs w:val="20"/>
              </w:rPr>
            </w:pPr>
            <w:r>
              <w:rPr>
                <w:rFonts w:hint="eastAsia" w:ascii="宋体" w:hAnsi="宋体" w:cs="宋体"/>
                <w:color w:val="000000"/>
                <w:sz w:val="20"/>
                <w:szCs w:val="20"/>
              </w:rPr>
              <w:t>按照2018年大余县干部教育培训计划完成培训任务。</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ind w:firstLine="300" w:firstLineChars="150"/>
              <w:rPr>
                <w:rFonts w:ascii="宋体" w:hAnsi="宋体" w:cs="宋体"/>
                <w:color w:val="000000"/>
                <w:sz w:val="20"/>
                <w:szCs w:val="20"/>
              </w:rPr>
            </w:pPr>
            <w:r>
              <w:rPr>
                <w:rFonts w:hint="eastAsia" w:ascii="宋体" w:hAnsi="宋体" w:cs="宋体"/>
                <w:color w:val="000000"/>
                <w:sz w:val="20"/>
                <w:szCs w:val="20"/>
              </w:rPr>
              <w:t>15</w:t>
            </w:r>
          </w:p>
        </w:tc>
      </w:tr>
      <w:tr>
        <w:tblPrEx>
          <w:tblCellMar>
            <w:top w:w="15" w:type="dxa"/>
            <w:left w:w="15" w:type="dxa"/>
            <w:bottom w:w="15" w:type="dxa"/>
            <w:right w:w="15" w:type="dxa"/>
          </w:tblCellMar>
        </w:tblPrEx>
        <w:trPr>
          <w:trHeight w:val="2161" w:hRule="atLeast"/>
        </w:trPr>
        <w:tc>
          <w:tcPr>
            <w:tcW w:w="134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管理效率（52分）</w:t>
            </w:r>
          </w:p>
        </w:tc>
        <w:tc>
          <w:tcPr>
            <w:tcW w:w="82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预算管理（25分）</w:t>
            </w:r>
          </w:p>
        </w:tc>
        <w:tc>
          <w:tcPr>
            <w:tcW w:w="79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预算编制（6分）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预算编制完整性（4分）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①收入预算编制是否足额，是否将所有部门预算收入全部编入收入预算；②支出预算编制是否科学，是否是按人员经费按标准、日常公用经费按定额、专项经费按项目分别编制。③是否所有财政性资金及其配套资金采购货物、工程和服务支出编制了政府采购预算。④三公经费预算编制只减不增。每项达到目标值得1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4</w:t>
            </w:r>
          </w:p>
        </w:tc>
      </w:tr>
      <w:tr>
        <w:tblPrEx>
          <w:tblCellMar>
            <w:top w:w="15" w:type="dxa"/>
            <w:left w:w="15" w:type="dxa"/>
            <w:bottom w:w="15" w:type="dxa"/>
            <w:right w:w="15" w:type="dxa"/>
          </w:tblCellMar>
        </w:tblPrEx>
        <w:trPr>
          <w:trHeight w:val="975" w:hRule="atLeast"/>
        </w:trPr>
        <w:tc>
          <w:tcPr>
            <w:tcW w:w="134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7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预算科目设置合理性（2分）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①功能科目编制是否科学合理，编制到“项”；②经济科目的编制是否科学合理，编排至“款”。每项达到目标值得1分。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2</w:t>
            </w:r>
          </w:p>
        </w:tc>
      </w:tr>
      <w:tr>
        <w:tblPrEx>
          <w:tblCellMar>
            <w:top w:w="15" w:type="dxa"/>
            <w:left w:w="15" w:type="dxa"/>
            <w:bottom w:w="15" w:type="dxa"/>
            <w:right w:w="15" w:type="dxa"/>
          </w:tblCellMar>
        </w:tblPrEx>
        <w:trPr>
          <w:trHeight w:val="1396" w:hRule="atLeast"/>
        </w:trPr>
        <w:tc>
          <w:tcPr>
            <w:tcW w:w="134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79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预算执行（16分）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预算执行率（12分）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预算执行率=（预算执行数/预算数）×100%。得分=指标实际完成值×12。其中，预算执行数指部门本年度实际执行的预算数；预算数指财政部门批复的本年度部门的预算数。</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11</w:t>
            </w:r>
          </w:p>
        </w:tc>
      </w:tr>
      <w:tr>
        <w:tblPrEx>
          <w:tblCellMar>
            <w:top w:w="15" w:type="dxa"/>
            <w:left w:w="15" w:type="dxa"/>
            <w:bottom w:w="15" w:type="dxa"/>
            <w:right w:w="15" w:type="dxa"/>
          </w:tblCellMar>
        </w:tblPrEx>
        <w:trPr>
          <w:trHeight w:val="2761" w:hRule="atLeast"/>
        </w:trPr>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13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预算调整率（2分）</w:t>
            </w:r>
          </w:p>
        </w:tc>
        <w:tc>
          <w:tcPr>
            <w:tcW w:w="3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预算调整率=（预算调整数/预算数）×100%。得分=指标实际完成值×2。预算调整数：部门在本年度内涉及预算的追加、追减或结构调整的资金总和（因落实国家政策、发生不可抗力、上级部门或本级党委政府临时交办而产生的调整除外）。比率等于0，得满分；比率在0%-10%之间的，得1.5分；比率在10%-20%之间的，得1分；比率在20%-30%之间的，得0.5分；比率大于30%，得0分。</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sz w:val="20"/>
                <w:szCs w:val="20"/>
              </w:rPr>
            </w:pPr>
            <w:r>
              <w:rPr>
                <w:rFonts w:hint="eastAsia" w:ascii="宋体" w:hAnsi="宋体" w:cs="宋体"/>
                <w:color w:val="000000"/>
                <w:sz w:val="20"/>
                <w:szCs w:val="20"/>
              </w:rPr>
              <w:t>2</w:t>
            </w:r>
          </w:p>
        </w:tc>
      </w:tr>
      <w:tr>
        <w:tblPrEx>
          <w:tblCellMar>
            <w:top w:w="15" w:type="dxa"/>
            <w:left w:w="15" w:type="dxa"/>
            <w:bottom w:w="15" w:type="dxa"/>
            <w:right w:w="15" w:type="dxa"/>
          </w:tblCellMar>
        </w:tblPrEx>
        <w:trPr>
          <w:trHeight w:val="1336" w:hRule="atLeast"/>
        </w:trPr>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13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结转结余变动率（2分）</w:t>
            </w:r>
          </w:p>
        </w:tc>
        <w:tc>
          <w:tcPr>
            <w:tcW w:w="3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结转结余变动率=[（本年度累计结转结余资金总额-上年度累计结转结余资金总额）/上年度累计结转结余资金总额]×100%；比率小于等于0，得2分；比率大于0，得0分。</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sz w:val="20"/>
                <w:szCs w:val="20"/>
              </w:rPr>
            </w:pPr>
            <w:r>
              <w:rPr>
                <w:rFonts w:hint="eastAsia" w:ascii="宋体" w:hAnsi="宋体" w:cs="宋体"/>
                <w:color w:val="000000"/>
                <w:sz w:val="20"/>
                <w:szCs w:val="20"/>
              </w:rPr>
              <w:t>2</w:t>
            </w:r>
          </w:p>
        </w:tc>
      </w:tr>
      <w:tr>
        <w:tblPrEx>
          <w:tblCellMar>
            <w:top w:w="15" w:type="dxa"/>
            <w:left w:w="15" w:type="dxa"/>
            <w:bottom w:w="15" w:type="dxa"/>
            <w:right w:w="15" w:type="dxa"/>
          </w:tblCellMar>
        </w:tblPrEx>
        <w:trPr>
          <w:trHeight w:val="975" w:hRule="atLeast"/>
        </w:trPr>
        <w:tc>
          <w:tcPr>
            <w:tcW w:w="134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部门决算（1分）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部门决算编报质量（1分）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①是否按照相关编审要求报送；②部门决算编报的单位范围和资金范围是否符合相关要求。每项达到目标值得0.5分。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1</w:t>
            </w:r>
          </w:p>
        </w:tc>
      </w:tr>
      <w:tr>
        <w:tblPrEx>
          <w:tblCellMar>
            <w:top w:w="15" w:type="dxa"/>
            <w:left w:w="15" w:type="dxa"/>
            <w:bottom w:w="15" w:type="dxa"/>
            <w:right w:w="15" w:type="dxa"/>
          </w:tblCellMar>
        </w:tblPrEx>
        <w:trPr>
          <w:trHeight w:val="555" w:hRule="atLeast"/>
        </w:trPr>
        <w:tc>
          <w:tcPr>
            <w:tcW w:w="134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79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预算改革（2分）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三年滚动财政规划（1分）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按文件规定编制了本部门（单位）中期财政规划得1分。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r>
      <w:tr>
        <w:tblPrEx>
          <w:tblCellMar>
            <w:top w:w="15" w:type="dxa"/>
            <w:left w:w="15" w:type="dxa"/>
            <w:bottom w:w="15" w:type="dxa"/>
            <w:right w:w="15" w:type="dxa"/>
          </w:tblCellMar>
        </w:tblPrEx>
        <w:trPr>
          <w:trHeight w:val="555" w:hRule="atLeast"/>
        </w:trPr>
        <w:tc>
          <w:tcPr>
            <w:tcW w:w="134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7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政府部门财务报告（1分）</w:t>
            </w:r>
          </w:p>
        </w:tc>
        <w:tc>
          <w:tcPr>
            <w:tcW w:w="3510" w:type="dxa"/>
            <w:tcBorders>
              <w:top w:val="single" w:color="000000" w:sz="4" w:space="0"/>
              <w:left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按文件规定编制了政府部门财务报告得1分。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1</w:t>
            </w:r>
          </w:p>
        </w:tc>
      </w:tr>
      <w:tr>
        <w:tblPrEx>
          <w:tblCellMar>
            <w:top w:w="15" w:type="dxa"/>
            <w:left w:w="15" w:type="dxa"/>
            <w:bottom w:w="15" w:type="dxa"/>
            <w:right w:w="15" w:type="dxa"/>
          </w:tblCellMar>
        </w:tblPrEx>
        <w:trPr>
          <w:trHeight w:val="1291" w:hRule="atLeast"/>
        </w:trPr>
        <w:tc>
          <w:tcPr>
            <w:tcW w:w="134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收支管理（5分）</w:t>
            </w: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收入管理（2分）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收入管理规范性（2分）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财政拨款收入、事业收入、上级补助收入、下属单位上缴收入、经营收入及其他收入管理是否符合财务规定。达到目标值得2分。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2</w:t>
            </w:r>
          </w:p>
        </w:tc>
      </w:tr>
      <w:tr>
        <w:tblPrEx>
          <w:tblCellMar>
            <w:top w:w="15" w:type="dxa"/>
            <w:left w:w="15" w:type="dxa"/>
            <w:bottom w:w="15" w:type="dxa"/>
            <w:right w:w="15" w:type="dxa"/>
          </w:tblCellMar>
        </w:tblPrEx>
        <w:trPr>
          <w:trHeight w:val="810" w:hRule="atLeast"/>
        </w:trPr>
        <w:tc>
          <w:tcPr>
            <w:tcW w:w="134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79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支出管理（3分）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支出管理规范性（2分）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基本支出和项目支出是否符合财务规定及相关制度办法的有关规定。达到目标值得2分。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2</w:t>
            </w:r>
          </w:p>
        </w:tc>
      </w:tr>
      <w:tr>
        <w:tblPrEx>
          <w:tblCellMar>
            <w:top w:w="15" w:type="dxa"/>
            <w:left w:w="15" w:type="dxa"/>
            <w:bottom w:w="15" w:type="dxa"/>
            <w:right w:w="15" w:type="dxa"/>
          </w:tblCellMar>
        </w:tblPrEx>
        <w:trPr>
          <w:trHeight w:val="1020" w:hRule="atLeast"/>
        </w:trPr>
        <w:tc>
          <w:tcPr>
            <w:tcW w:w="134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7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重点支出结构合理性（1分）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重点项目支出是否合理（重点支出保障率=（重点项目支出/项目总支出）×100%）；得分=指标实际完成值×1。</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1</w:t>
            </w:r>
          </w:p>
        </w:tc>
      </w:tr>
      <w:tr>
        <w:tblPrEx>
          <w:tblCellMar>
            <w:top w:w="15" w:type="dxa"/>
            <w:left w:w="15" w:type="dxa"/>
            <w:bottom w:w="15" w:type="dxa"/>
            <w:right w:w="15" w:type="dxa"/>
          </w:tblCellMar>
        </w:tblPrEx>
        <w:trPr>
          <w:trHeight w:val="1876" w:hRule="atLeast"/>
        </w:trPr>
        <w:tc>
          <w:tcPr>
            <w:tcW w:w="1346"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管理效率（52分）</w:t>
            </w:r>
          </w:p>
        </w:tc>
        <w:tc>
          <w:tcPr>
            <w:tcW w:w="82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财务管理（6分）</w:t>
            </w: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制度完备（1.5分）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财务管理制度的完备性（1.5分）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①资金的拨付和使用是否有比较完整的审批程序和手续；②财务核算符合财经法规和财务管理制度及专项资金管理有关规定；③部门基础数据信息和会计信息资料的真实性、完整性、准确性，能否对预算管理工作起到很好的支撑作用。每项达到目标值得0.5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1.5</w:t>
            </w:r>
          </w:p>
        </w:tc>
      </w:tr>
      <w:tr>
        <w:tblPrEx>
          <w:tblCellMar>
            <w:top w:w="15" w:type="dxa"/>
            <w:left w:w="15" w:type="dxa"/>
            <w:bottom w:w="15" w:type="dxa"/>
            <w:right w:w="15" w:type="dxa"/>
          </w:tblCellMar>
        </w:tblPrEx>
        <w:trPr>
          <w:trHeight w:val="840" w:hRule="atLeast"/>
        </w:trPr>
        <w:tc>
          <w:tcPr>
            <w:tcW w:w="1346" w:type="dxa"/>
            <w:vMerge w:val="continue"/>
            <w:tcBorders>
              <w:top w:val="single" w:color="000000" w:sz="4" w:space="0"/>
              <w:left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采购管理（2分）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政府采购执行率（2分）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政府采购执行率=（实际政府采购金额/政府采购预算数）×100%；得分=指标实际完成值×2。</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2</w:t>
            </w:r>
          </w:p>
        </w:tc>
      </w:tr>
      <w:tr>
        <w:tblPrEx>
          <w:tblCellMar>
            <w:top w:w="15" w:type="dxa"/>
            <w:left w:w="15" w:type="dxa"/>
            <w:bottom w:w="15" w:type="dxa"/>
            <w:right w:w="15" w:type="dxa"/>
          </w:tblCellMar>
        </w:tblPrEx>
        <w:trPr>
          <w:trHeight w:val="2956" w:hRule="atLeast"/>
        </w:trPr>
        <w:tc>
          <w:tcPr>
            <w:tcW w:w="1346" w:type="dxa"/>
            <w:vMerge w:val="continue"/>
            <w:tcBorders>
              <w:top w:val="single" w:color="000000" w:sz="4" w:space="0"/>
              <w:left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内部控制（2.5分）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内控制度有效性（2.5分）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①预算业务控制：单位是否建立健全预算编制、审批、执行、决算与评价等预算内部管理制度；②收支业务控制：单位是否建立健全收入、支出内部管理制度；③政府采购业务控制：单位是否建立健全政府采购预算与计划管理、政府采购活动管理、验收管理等政府采购内部管理制度；④资产控制：单位是否建立健全资产内部管理制度；上述每项达到目标值得0.5分。⑤上述内部控制管理制度是否执行到位有效。达到目标值得0.5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2</w:t>
            </w:r>
          </w:p>
        </w:tc>
      </w:tr>
      <w:tr>
        <w:tblPrEx>
          <w:tblCellMar>
            <w:top w:w="15" w:type="dxa"/>
            <w:left w:w="15" w:type="dxa"/>
            <w:bottom w:w="15" w:type="dxa"/>
            <w:right w:w="15" w:type="dxa"/>
          </w:tblCellMar>
        </w:tblPrEx>
        <w:trPr>
          <w:trHeight w:val="2161" w:hRule="atLeast"/>
        </w:trPr>
        <w:tc>
          <w:tcPr>
            <w:tcW w:w="1346" w:type="dxa"/>
            <w:vMerge w:val="continue"/>
            <w:tcBorders>
              <w:top w:val="single" w:color="000000" w:sz="4" w:space="0"/>
              <w:left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资产管理（4分）</w:t>
            </w: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规范管理（2分）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资产管理规范性（2分）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①资产保存是否完整，是否定期对固定资产进行清查，是否有因管理不当发生严重资产损失和丢失的情况；②是否存在超标准配置资产；③资产使用是否规范，是否存在未经批准擅自出租、出借资产行为；④资产处置是否规范，是否存在不按要求进行报批或资产不公开处置行为。达到目标值得0.5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2</w:t>
            </w:r>
          </w:p>
        </w:tc>
      </w:tr>
      <w:tr>
        <w:tblPrEx>
          <w:tblCellMar>
            <w:top w:w="15" w:type="dxa"/>
            <w:left w:w="15" w:type="dxa"/>
            <w:bottom w:w="15" w:type="dxa"/>
            <w:right w:w="15" w:type="dxa"/>
          </w:tblCellMar>
        </w:tblPrEx>
        <w:trPr>
          <w:trHeight w:val="1035" w:hRule="atLeast"/>
        </w:trPr>
        <w:tc>
          <w:tcPr>
            <w:tcW w:w="1346" w:type="dxa"/>
            <w:vMerge w:val="continue"/>
            <w:tcBorders>
              <w:top w:val="single" w:color="000000" w:sz="4" w:space="0"/>
              <w:left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有效使用（2分）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部门固定资产利用率（2分）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部门固定资产利用率=（部门实际在用固定资产总额/部门所有固定资产总额）×100%；得分=指标实际完成值×2。</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1.5</w:t>
            </w:r>
          </w:p>
        </w:tc>
      </w:tr>
      <w:tr>
        <w:tblPrEx>
          <w:tblCellMar>
            <w:top w:w="15" w:type="dxa"/>
            <w:left w:w="15" w:type="dxa"/>
            <w:bottom w:w="15" w:type="dxa"/>
            <w:right w:w="15" w:type="dxa"/>
          </w:tblCellMar>
        </w:tblPrEx>
        <w:trPr>
          <w:trHeight w:val="1050" w:hRule="atLeast"/>
        </w:trPr>
        <w:tc>
          <w:tcPr>
            <w:tcW w:w="1346" w:type="dxa"/>
            <w:vMerge w:val="continue"/>
            <w:tcBorders>
              <w:top w:val="single" w:color="000000" w:sz="4" w:space="0"/>
              <w:left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成本控制（12分）</w:t>
            </w:r>
          </w:p>
        </w:tc>
        <w:tc>
          <w:tcPr>
            <w:tcW w:w="79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机构运转成本调控（12分）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一般性支出变动率（5分）</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一般性支出变动率=[（本年度一般性支出-上年度一般性支出） /本年度一般性支出]×100%；比率小于等于0，得5分；比率大于0，得0分。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4.5</w:t>
            </w:r>
          </w:p>
        </w:tc>
      </w:tr>
      <w:tr>
        <w:tblPrEx>
          <w:tblCellMar>
            <w:top w:w="15" w:type="dxa"/>
            <w:left w:w="15" w:type="dxa"/>
            <w:bottom w:w="15" w:type="dxa"/>
            <w:right w:w="15" w:type="dxa"/>
          </w:tblCellMar>
        </w:tblPrEx>
        <w:trPr>
          <w:trHeight w:val="990" w:hRule="atLeast"/>
        </w:trPr>
        <w:tc>
          <w:tcPr>
            <w:tcW w:w="1346"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13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人均公用经费变动率（3分）</w:t>
            </w:r>
          </w:p>
        </w:tc>
        <w:tc>
          <w:tcPr>
            <w:tcW w:w="3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人均公用经费变动率=[（本年度人均公用经费-上年度人均公用经费） /上年度人均公用经费]×100%；比率小于等于0，得3分；比率大于0，得0分。</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sz w:val="20"/>
                <w:szCs w:val="20"/>
              </w:rPr>
            </w:pPr>
            <w:r>
              <w:rPr>
                <w:rFonts w:hint="eastAsia" w:ascii="宋体" w:hAnsi="宋体" w:cs="宋体"/>
                <w:color w:val="000000"/>
                <w:sz w:val="20"/>
                <w:szCs w:val="20"/>
              </w:rPr>
              <w:t>2.5</w:t>
            </w:r>
          </w:p>
        </w:tc>
      </w:tr>
      <w:tr>
        <w:tblPrEx>
          <w:tblCellMar>
            <w:top w:w="15" w:type="dxa"/>
            <w:left w:w="15" w:type="dxa"/>
            <w:bottom w:w="15" w:type="dxa"/>
            <w:right w:w="15" w:type="dxa"/>
          </w:tblCellMar>
        </w:tblPrEx>
        <w:trPr>
          <w:trHeight w:val="1215" w:hRule="atLeast"/>
        </w:trPr>
        <w:tc>
          <w:tcPr>
            <w:tcW w:w="1346"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0"/>
                <w:szCs w:val="20"/>
              </w:rPr>
            </w:pPr>
          </w:p>
        </w:tc>
        <w:tc>
          <w:tcPr>
            <w:tcW w:w="13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“三公经费”变动率（4分）</w:t>
            </w:r>
          </w:p>
        </w:tc>
        <w:tc>
          <w:tcPr>
            <w:tcW w:w="3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“三公经费”变动率=[（本年度“三公经费”总额-上年度“三公经费”总额） /上年度“三公经费”总额]×100%；比率小于等于0，得4分；比率大于0，得0分。</w:t>
            </w:r>
          </w:p>
        </w:tc>
        <w:tc>
          <w:tcPr>
            <w:tcW w:w="13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sz w:val="20"/>
                <w:szCs w:val="20"/>
              </w:rPr>
            </w:pPr>
            <w:r>
              <w:rPr>
                <w:rFonts w:hint="eastAsia" w:ascii="宋体" w:hAnsi="宋体" w:cs="宋体"/>
                <w:color w:val="000000"/>
                <w:sz w:val="20"/>
                <w:szCs w:val="20"/>
              </w:rPr>
              <w:t>3</w:t>
            </w:r>
          </w:p>
        </w:tc>
      </w:tr>
      <w:tr>
        <w:tblPrEx>
          <w:tblCellMar>
            <w:top w:w="15" w:type="dxa"/>
            <w:left w:w="15" w:type="dxa"/>
            <w:bottom w:w="15" w:type="dxa"/>
            <w:right w:w="15" w:type="dxa"/>
          </w:tblCellMar>
        </w:tblPrEx>
        <w:trPr>
          <w:trHeight w:val="720" w:hRule="atLeast"/>
        </w:trPr>
        <w:tc>
          <w:tcPr>
            <w:tcW w:w="1346"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服务满意（8分）</w:t>
            </w:r>
          </w:p>
        </w:tc>
        <w:tc>
          <w:tcPr>
            <w:tcW w:w="825"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服务对象满意</w:t>
            </w:r>
          </w:p>
        </w:tc>
        <w:tc>
          <w:tcPr>
            <w:tcW w:w="795"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公众满意度（4分）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公众满意度百分比</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95%（含）以上计4分；85%（含）-95%，计3分；75%（含）-85%，计1分；低于75%计0分。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4</w:t>
            </w:r>
          </w:p>
        </w:tc>
      </w:tr>
      <w:tr>
        <w:tblPrEx>
          <w:tblCellMar>
            <w:top w:w="15" w:type="dxa"/>
            <w:left w:w="15" w:type="dxa"/>
            <w:bottom w:w="15" w:type="dxa"/>
            <w:right w:w="15" w:type="dxa"/>
          </w:tblCellMar>
        </w:tblPrEx>
        <w:trPr>
          <w:trHeight w:val="840" w:hRule="atLeast"/>
        </w:trPr>
        <w:tc>
          <w:tcPr>
            <w:tcW w:w="1346" w:type="dxa"/>
            <w:vMerge w:val="continue"/>
            <w:tcBorders>
              <w:top w:val="single" w:color="000000" w:sz="4" w:space="0"/>
              <w:left w:val="single" w:color="000000" w:sz="4" w:space="0"/>
              <w:right w:val="single" w:color="000000" w:sz="4" w:space="0"/>
            </w:tcBorders>
            <w:vAlign w:val="center"/>
          </w:tcPr>
          <w:p>
            <w:pPr>
              <w:jc w:val="center"/>
              <w:rPr>
                <w:rFonts w:ascii="宋体" w:hAnsi="宋体" w:cs="宋体"/>
                <w:color w:val="000000"/>
                <w:sz w:val="20"/>
                <w:szCs w:val="20"/>
              </w:rPr>
            </w:pPr>
          </w:p>
        </w:tc>
        <w:tc>
          <w:tcPr>
            <w:tcW w:w="8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利益相关方满意</w:t>
            </w: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利益相关方满意度（4分）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社会公众投诉率或投诉次数</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投诉率或投诉次数=0，得4分；投诉率或投诉次数&gt;0，得0分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4</w:t>
            </w:r>
          </w:p>
        </w:tc>
      </w:tr>
      <w:tr>
        <w:tblPrEx>
          <w:tblCellMar>
            <w:top w:w="15" w:type="dxa"/>
            <w:left w:w="15" w:type="dxa"/>
            <w:bottom w:w="15" w:type="dxa"/>
            <w:right w:w="15" w:type="dxa"/>
          </w:tblCellMar>
        </w:tblPrEx>
        <w:trPr>
          <w:trHeight w:val="1110" w:hRule="atLeast"/>
        </w:trPr>
        <w:tc>
          <w:tcPr>
            <w:tcW w:w="13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可持续性（5分）</w:t>
            </w:r>
          </w:p>
        </w:tc>
        <w:tc>
          <w:tcPr>
            <w:tcW w:w="8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可持续性影响程度</w:t>
            </w: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持续发挥作用的期限（5分）</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公众受益覆盖面</w:t>
            </w:r>
          </w:p>
        </w:tc>
        <w:tc>
          <w:tcPr>
            <w:tcW w:w="3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受益覆盖面达到95%（含）以上计5分；85%（含）-95%，计3分；75%（含）-85%，计1分；低于75%计0分。</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r>
              <w:rPr>
                <w:rFonts w:hint="eastAsia" w:ascii="宋体" w:hAnsi="宋体" w:cs="宋体"/>
                <w:color w:val="000000"/>
                <w:sz w:val="20"/>
                <w:szCs w:val="20"/>
              </w:rPr>
              <w:t>4</w:t>
            </w:r>
          </w:p>
        </w:tc>
      </w:tr>
      <w:tr>
        <w:tblPrEx>
          <w:tblCellMar>
            <w:top w:w="15" w:type="dxa"/>
            <w:left w:w="15" w:type="dxa"/>
            <w:bottom w:w="15" w:type="dxa"/>
            <w:right w:w="15" w:type="dxa"/>
          </w:tblCellMar>
        </w:tblPrEx>
        <w:trPr>
          <w:trHeight w:val="2731" w:hRule="atLeast"/>
        </w:trPr>
        <w:tc>
          <w:tcPr>
            <w:tcW w:w="13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减分项</w:t>
            </w:r>
          </w:p>
        </w:tc>
        <w:tc>
          <w:tcPr>
            <w:tcW w:w="8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监督检查、审计、绩效评价中发现的问题</w:t>
            </w: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监督检查、审计、绩效评价中发现的问题</w:t>
            </w:r>
          </w:p>
        </w:tc>
        <w:tc>
          <w:tcPr>
            <w:tcW w:w="13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在市级以上组织的监督检查、审计、绩效评价中发现部门资金管理方面存在问题或项目绩效目标未达成的，一个问题扣1分，不重复扣分。</w:t>
            </w:r>
          </w:p>
        </w:tc>
        <w:tc>
          <w:tcPr>
            <w:tcW w:w="351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cs="宋体"/>
                <w:color w:val="000000"/>
                <w:sz w:val="20"/>
                <w:szCs w:val="20"/>
              </w:rPr>
            </w:pPr>
            <w:r>
              <w:rPr>
                <w:rFonts w:hint="eastAsia" w:ascii="宋体" w:hAnsi="宋体" w:cs="宋体"/>
                <w:color w:val="000000"/>
                <w:sz w:val="20"/>
                <w:szCs w:val="20"/>
              </w:rPr>
              <w:t>无</w:t>
            </w:r>
          </w:p>
        </w:tc>
        <w:tc>
          <w:tcPr>
            <w:tcW w:w="1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r>
      <w:tr>
        <w:tblPrEx>
          <w:tblCellMar>
            <w:top w:w="15" w:type="dxa"/>
            <w:left w:w="15" w:type="dxa"/>
            <w:bottom w:w="15" w:type="dxa"/>
            <w:right w:w="15" w:type="dxa"/>
          </w:tblCellMar>
        </w:tblPrEx>
        <w:trPr>
          <w:trHeight w:val="450" w:hRule="atLeast"/>
        </w:trPr>
        <w:tc>
          <w:tcPr>
            <w:tcW w:w="9177"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总     分</w:t>
            </w:r>
          </w:p>
        </w:tc>
        <w:tc>
          <w:tcPr>
            <w:tcW w:w="91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0"/>
                <w:szCs w:val="20"/>
                <w:lang w:val="en-US" w:eastAsia="zh-CN"/>
              </w:rPr>
            </w:pPr>
            <w:r>
              <w:rPr>
                <w:rFonts w:hint="eastAsia" w:ascii="宋体" w:hAnsi="宋体" w:cs="宋体"/>
                <w:color w:val="000000"/>
                <w:sz w:val="20"/>
                <w:szCs w:val="20"/>
              </w:rPr>
              <w:t>9</w:t>
            </w:r>
            <w:r>
              <w:rPr>
                <w:rFonts w:hint="eastAsia" w:ascii="宋体" w:hAnsi="宋体" w:cs="宋体"/>
                <w:color w:val="000000"/>
                <w:sz w:val="20"/>
                <w:szCs w:val="20"/>
                <w:lang w:val="en-US" w:eastAsia="zh-CN"/>
              </w:rPr>
              <w:t>4</w:t>
            </w:r>
          </w:p>
        </w:tc>
      </w:tr>
      <w:tr>
        <w:tblPrEx>
          <w:tblCellMar>
            <w:top w:w="15" w:type="dxa"/>
            <w:left w:w="15" w:type="dxa"/>
            <w:bottom w:w="15" w:type="dxa"/>
            <w:right w:w="15" w:type="dxa"/>
          </w:tblCellMar>
        </w:tblPrEx>
        <w:trPr>
          <w:trHeight w:val="660" w:hRule="atLeast"/>
        </w:trPr>
        <w:tc>
          <w:tcPr>
            <w:tcW w:w="10092" w:type="dxa"/>
            <w:gridSpan w:val="7"/>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注：重点工作、服务满意、可持续性这三项单位根据年初目标实际情况设定指标和评分标准。</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EzNWQyOGRiYTM1ZmI4Y2M2YzMxMjZiYjE4MjYxNzMifQ=="/>
  </w:docVars>
  <w:rsids>
    <w:rsidRoot w:val="00E7240A"/>
    <w:rsid w:val="00135E73"/>
    <w:rsid w:val="00666C22"/>
    <w:rsid w:val="00761DD3"/>
    <w:rsid w:val="00B048D4"/>
    <w:rsid w:val="00C55175"/>
    <w:rsid w:val="00E7240A"/>
    <w:rsid w:val="32C631D2"/>
    <w:rsid w:val="35A3402B"/>
    <w:rsid w:val="5D5F42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4</Pages>
  <Words>2702</Words>
  <Characters>2838</Characters>
  <Lines>21</Lines>
  <Paragraphs>6</Paragraphs>
  <TotalTime>3</TotalTime>
  <ScaleCrop>false</ScaleCrop>
  <LinksUpToDate>false</LinksUpToDate>
  <CharactersWithSpaces>2846</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2021-05-14T07:31:00Z</dcterms:created>
  <dc:creator>微软用户</dc:creator>
  <cp:lastModifiedBy>余丽莎</cp:lastModifiedBy>
  <dcterms:modified xsi:type="dcterms:W3CDTF">2022-09-01T07:37:04Z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504D5634FA3F46D383F488956557226A</vt:lpwstr>
  </property>
</Properties>
</file>