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A0A988">
      <w:pPr>
        <w:keepNext w:val="0"/>
        <w:keepLines w:val="0"/>
        <w:widowControl w:val="0"/>
        <w:suppressLineNumbers w:val="0"/>
        <w:autoSpaceDE w:val="0"/>
        <w:autoSpaceDN/>
        <w:spacing w:before="0" w:beforeAutospacing="0" w:after="0" w:afterAutospacing="0" w:line="460" w:lineRule="exact"/>
        <w:ind w:left="0" w:right="0"/>
        <w:jc w:val="center"/>
        <w:rPr>
          <w:rFonts w:hint="eastAsia" w:ascii="宋体" w:hAnsi="宋体" w:eastAsia="黑体" w:cs="Times New Roman"/>
          <w:kern w:val="2"/>
          <w:sz w:val="44"/>
          <w:szCs w:val="44"/>
        </w:rPr>
      </w:pPr>
      <w:r>
        <w:rPr>
          <w:rFonts w:hint="eastAsia" w:ascii="方正小标宋简体" w:hAnsi="方正小标宋简体" w:eastAsia="方正小标宋简体" w:cs="方正小标宋简体"/>
          <w:kern w:val="2"/>
          <w:sz w:val="44"/>
          <w:szCs w:val="44"/>
          <w:lang w:val="en-US" w:eastAsia="zh-CN" w:bidi="ar"/>
        </w:rPr>
        <w:t>征求意见汇总表</w:t>
      </w:r>
    </w:p>
    <w:tbl>
      <w:tblPr>
        <w:tblStyle w:val="2"/>
        <w:tblW w:w="14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8"/>
        <w:gridCol w:w="1435"/>
        <w:gridCol w:w="10605"/>
        <w:gridCol w:w="1110"/>
        <w:gridCol w:w="720"/>
      </w:tblGrid>
      <w:tr w14:paraId="0E36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6"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14:paraId="7E152D39">
            <w:pPr>
              <w:keepNext w:val="0"/>
              <w:keepLines w:val="0"/>
              <w:widowControl w:val="0"/>
              <w:suppressLineNumbers w:val="0"/>
              <w:autoSpaceDE w:val="0"/>
              <w:autoSpaceDN/>
              <w:spacing w:before="0" w:beforeAutospacing="0" w:after="0" w:afterAutospacing="0" w:line="360" w:lineRule="exact"/>
              <w:ind w:left="0" w:right="0"/>
              <w:jc w:val="center"/>
              <w:rPr>
                <w:rFonts w:hint="eastAsia" w:ascii="宋体" w:hAnsi="宋体" w:eastAsia="黑体" w:cs="Times New Roman"/>
                <w:kern w:val="2"/>
                <w:sz w:val="28"/>
                <w:szCs w:val="28"/>
              </w:rPr>
            </w:pPr>
            <w:r>
              <w:rPr>
                <w:rFonts w:hint="eastAsia" w:ascii="黑体" w:hAnsi="宋体" w:eastAsia="黑体" w:cs="黑体"/>
                <w:kern w:val="2"/>
                <w:sz w:val="28"/>
                <w:szCs w:val="28"/>
                <w:lang w:val="en-US" w:eastAsia="zh-CN" w:bidi="ar"/>
              </w:rPr>
              <w:t>序号</w:t>
            </w:r>
          </w:p>
        </w:tc>
        <w:tc>
          <w:tcPr>
            <w:tcW w:w="1435" w:type="dxa"/>
            <w:tcBorders>
              <w:top w:val="single" w:color="auto" w:sz="4" w:space="0"/>
              <w:left w:val="single" w:color="auto" w:sz="4" w:space="0"/>
              <w:bottom w:val="single" w:color="auto" w:sz="4" w:space="0"/>
              <w:right w:val="single" w:color="auto" w:sz="4" w:space="0"/>
            </w:tcBorders>
            <w:shd w:val="clear" w:color="auto" w:fill="auto"/>
            <w:vAlign w:val="center"/>
          </w:tcPr>
          <w:p w14:paraId="61C762FD">
            <w:pPr>
              <w:keepNext w:val="0"/>
              <w:keepLines w:val="0"/>
              <w:widowControl w:val="0"/>
              <w:suppressLineNumbers w:val="0"/>
              <w:autoSpaceDE w:val="0"/>
              <w:autoSpaceDN/>
              <w:spacing w:before="0" w:beforeAutospacing="0" w:after="0" w:afterAutospacing="0" w:line="360" w:lineRule="exact"/>
              <w:ind w:left="0" w:right="0"/>
              <w:jc w:val="center"/>
              <w:rPr>
                <w:rFonts w:hint="eastAsia" w:ascii="宋体" w:hAnsi="宋体" w:eastAsia="黑体" w:cs="Times New Roman"/>
                <w:kern w:val="2"/>
                <w:sz w:val="28"/>
                <w:szCs w:val="28"/>
              </w:rPr>
            </w:pPr>
            <w:r>
              <w:rPr>
                <w:rFonts w:hint="eastAsia" w:ascii="黑体" w:hAnsi="宋体" w:eastAsia="黑体" w:cs="黑体"/>
                <w:kern w:val="2"/>
                <w:sz w:val="28"/>
                <w:szCs w:val="28"/>
                <w:lang w:val="en-US" w:eastAsia="zh-CN" w:bidi="ar"/>
              </w:rPr>
              <w:t>反馈意见单位</w:t>
            </w:r>
          </w:p>
        </w:tc>
        <w:tc>
          <w:tcPr>
            <w:tcW w:w="10605" w:type="dxa"/>
            <w:tcBorders>
              <w:top w:val="single" w:color="auto" w:sz="4" w:space="0"/>
              <w:left w:val="single" w:color="auto" w:sz="4" w:space="0"/>
              <w:bottom w:val="single" w:color="auto" w:sz="4" w:space="0"/>
              <w:right w:val="single" w:color="auto" w:sz="4" w:space="0"/>
            </w:tcBorders>
            <w:shd w:val="clear" w:color="auto" w:fill="auto"/>
            <w:vAlign w:val="top"/>
          </w:tcPr>
          <w:p w14:paraId="34B698C3">
            <w:pPr>
              <w:keepNext w:val="0"/>
              <w:keepLines w:val="0"/>
              <w:widowControl w:val="0"/>
              <w:suppressLineNumbers w:val="0"/>
              <w:autoSpaceDE w:val="0"/>
              <w:autoSpaceDN/>
              <w:spacing w:before="0" w:beforeAutospacing="0" w:after="0" w:afterAutospacing="0" w:line="360" w:lineRule="exact"/>
              <w:ind w:left="0" w:right="0"/>
              <w:jc w:val="center"/>
              <w:rPr>
                <w:rFonts w:hint="eastAsia" w:ascii="宋体" w:hAnsi="宋体" w:eastAsia="黑体" w:cs="Times New Roman"/>
                <w:kern w:val="2"/>
                <w:sz w:val="28"/>
                <w:szCs w:val="28"/>
              </w:rPr>
            </w:pPr>
            <w:r>
              <w:rPr>
                <w:rFonts w:hint="eastAsia" w:ascii="黑体" w:hAnsi="宋体" w:eastAsia="黑体" w:cs="黑体"/>
                <w:kern w:val="2"/>
                <w:sz w:val="28"/>
                <w:szCs w:val="28"/>
                <w:lang w:val="en-US" w:eastAsia="zh-CN" w:bidi="ar"/>
              </w:rPr>
              <w:t>反馈意见</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14:paraId="55BE9BAD">
            <w:pPr>
              <w:keepNext w:val="0"/>
              <w:keepLines w:val="0"/>
              <w:widowControl w:val="0"/>
              <w:suppressLineNumbers w:val="0"/>
              <w:autoSpaceDE w:val="0"/>
              <w:autoSpaceDN/>
              <w:spacing w:before="0" w:beforeAutospacing="0" w:after="0" w:afterAutospacing="0" w:line="360" w:lineRule="exact"/>
              <w:ind w:left="0" w:right="0"/>
              <w:jc w:val="center"/>
              <w:rPr>
                <w:rFonts w:hint="eastAsia" w:ascii="宋体" w:hAnsi="宋体" w:eastAsia="黑体" w:cs="Times New Roman"/>
                <w:kern w:val="2"/>
                <w:sz w:val="28"/>
                <w:szCs w:val="28"/>
              </w:rPr>
            </w:pPr>
            <w:r>
              <w:rPr>
                <w:rFonts w:hint="eastAsia" w:ascii="黑体" w:hAnsi="宋体" w:eastAsia="黑体" w:cs="黑体"/>
                <w:kern w:val="2"/>
                <w:sz w:val="28"/>
                <w:szCs w:val="28"/>
                <w:lang w:val="en-US" w:eastAsia="zh-CN" w:bidi="ar"/>
              </w:rPr>
              <w:t>采纳情况</w:t>
            </w:r>
          </w:p>
        </w:tc>
        <w:tc>
          <w:tcPr>
            <w:tcW w:w="720" w:type="dxa"/>
            <w:tcBorders>
              <w:top w:val="single" w:color="auto" w:sz="4" w:space="0"/>
              <w:left w:val="single" w:color="auto" w:sz="4" w:space="0"/>
              <w:bottom w:val="single" w:color="auto" w:sz="4" w:space="0"/>
              <w:right w:val="single" w:color="auto" w:sz="4" w:space="0"/>
            </w:tcBorders>
            <w:shd w:val="clear" w:color="auto" w:fill="auto"/>
            <w:vAlign w:val="top"/>
          </w:tcPr>
          <w:p w14:paraId="60DE397B">
            <w:pPr>
              <w:keepNext w:val="0"/>
              <w:keepLines w:val="0"/>
              <w:widowControl w:val="0"/>
              <w:suppressLineNumbers w:val="0"/>
              <w:autoSpaceDE w:val="0"/>
              <w:autoSpaceDN/>
              <w:spacing w:before="0" w:beforeAutospacing="0" w:after="0" w:afterAutospacing="0" w:line="360" w:lineRule="exact"/>
              <w:ind w:left="0" w:right="0"/>
              <w:jc w:val="center"/>
              <w:rPr>
                <w:rFonts w:hint="eastAsia" w:ascii="宋体" w:hAnsi="宋体" w:eastAsia="黑体" w:cs="Times New Roman"/>
                <w:kern w:val="2"/>
                <w:sz w:val="28"/>
                <w:szCs w:val="28"/>
              </w:rPr>
            </w:pPr>
            <w:r>
              <w:rPr>
                <w:rFonts w:hint="eastAsia" w:ascii="黑体" w:hAnsi="宋体" w:eastAsia="黑体" w:cs="黑体"/>
                <w:kern w:val="2"/>
                <w:sz w:val="28"/>
                <w:szCs w:val="28"/>
                <w:lang w:val="en-US" w:eastAsia="zh-CN" w:bidi="ar"/>
              </w:rPr>
              <w:t>备注</w:t>
            </w:r>
          </w:p>
        </w:tc>
      </w:tr>
      <w:tr w14:paraId="39F3D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40"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14:paraId="54D9074B">
            <w:pPr>
              <w:keepNext w:val="0"/>
              <w:keepLines w:val="0"/>
              <w:widowControl w:val="0"/>
              <w:suppressLineNumbers w:val="0"/>
              <w:autoSpaceDE w:val="0"/>
              <w:autoSpaceDN/>
              <w:spacing w:before="0" w:beforeAutospacing="0" w:after="0" w:afterAutospacing="0" w:line="360" w:lineRule="exact"/>
              <w:ind w:left="0" w:right="0"/>
              <w:jc w:val="center"/>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1</w:t>
            </w:r>
          </w:p>
        </w:tc>
        <w:tc>
          <w:tcPr>
            <w:tcW w:w="1435" w:type="dxa"/>
            <w:tcBorders>
              <w:top w:val="single" w:color="auto" w:sz="4" w:space="0"/>
              <w:left w:val="single" w:color="auto" w:sz="4" w:space="0"/>
              <w:bottom w:val="single" w:color="auto" w:sz="4" w:space="0"/>
              <w:right w:val="single" w:color="auto" w:sz="4" w:space="0"/>
            </w:tcBorders>
            <w:shd w:val="clear" w:color="auto" w:fill="auto"/>
            <w:vAlign w:val="center"/>
          </w:tcPr>
          <w:p w14:paraId="56BD63D9">
            <w:pPr>
              <w:keepNext w:val="0"/>
              <w:keepLines w:val="0"/>
              <w:widowControl/>
              <w:suppressLineNumbers w:val="0"/>
              <w:autoSpaceDE w:val="0"/>
              <w:autoSpaceDN/>
              <w:spacing w:before="0" w:beforeAutospacing="0" w:after="0" w:afterAutospacing="0" w:line="360" w:lineRule="exact"/>
              <w:ind w:left="0" w:right="0"/>
              <w:jc w:val="center"/>
              <w:textAlignment w:val="center"/>
              <w:rPr>
                <w:rFonts w:hint="eastAsia" w:ascii="仿宋_GB2312" w:eastAsia="仿宋_GB2312" w:cs="仿宋_GB2312"/>
                <w:kern w:val="2"/>
                <w:sz w:val="32"/>
                <w:szCs w:val="32"/>
              </w:rPr>
            </w:pPr>
            <w:r>
              <w:rPr>
                <w:rFonts w:hint="eastAsia" w:ascii="仿宋_GB2312" w:hAnsi="Calibri" w:eastAsia="仿宋_GB2312" w:cs="仿宋_GB2312"/>
                <w:i w:val="0"/>
                <w:iCs w:val="0"/>
                <w:color w:val="000000"/>
                <w:kern w:val="0"/>
                <w:sz w:val="28"/>
                <w:szCs w:val="28"/>
                <w:lang w:val="en-US" w:eastAsia="zh-CN" w:bidi="ar"/>
              </w:rPr>
              <w:t>县市场监督管理局</w:t>
            </w:r>
          </w:p>
        </w:tc>
        <w:tc>
          <w:tcPr>
            <w:tcW w:w="10605" w:type="dxa"/>
            <w:tcBorders>
              <w:top w:val="single" w:color="auto" w:sz="4" w:space="0"/>
              <w:left w:val="single" w:color="auto" w:sz="4" w:space="0"/>
              <w:bottom w:val="single" w:color="auto" w:sz="4" w:space="0"/>
              <w:right w:val="single" w:color="auto" w:sz="4" w:space="0"/>
            </w:tcBorders>
            <w:shd w:val="clear" w:color="auto" w:fill="auto"/>
            <w:vAlign w:val="center"/>
          </w:tcPr>
          <w:p w14:paraId="4F3F1758">
            <w:pPr>
              <w:keepNext w:val="0"/>
              <w:keepLines w:val="0"/>
              <w:widowControl/>
              <w:suppressLineNumbers w:val="0"/>
              <w:autoSpaceDE w:val="0"/>
              <w:autoSpaceDN/>
              <w:spacing w:before="0" w:beforeAutospacing="0" w:after="0" w:afterAutospacing="0" w:line="360" w:lineRule="exact"/>
              <w:ind w:left="0" w:right="0"/>
              <w:jc w:val="both"/>
              <w:textAlignment w:val="center"/>
              <w:rPr>
                <w:rFonts w:hint="eastAsia" w:ascii="仿宋_GB2312" w:eastAsia="仿宋_GB2312" w:cs="仿宋_GB2312"/>
                <w:kern w:val="2"/>
                <w:sz w:val="32"/>
                <w:szCs w:val="32"/>
              </w:rPr>
            </w:pPr>
            <w:r>
              <w:rPr>
                <w:rFonts w:hint="eastAsia" w:ascii="仿宋_GB2312" w:hAnsi="Calibri" w:eastAsia="仿宋_GB2312" w:cs="仿宋_GB2312"/>
                <w:i w:val="0"/>
                <w:iCs w:val="0"/>
                <w:color w:val="000000"/>
                <w:kern w:val="0"/>
                <w:sz w:val="28"/>
                <w:szCs w:val="28"/>
                <w:lang w:val="en-US" w:eastAsia="zh-CN" w:bidi="ar"/>
              </w:rPr>
              <w:t>建议你单位按照公平竞争审查流程对起草的《大余县2025年招培引学工作方案（讨论稿）》进行公平竞争审查初审，审查过程中应当听取有关经营者、行业协会商会等利害关系人关于公平竞争影响的意见,涉及社会公众利益的，应当听取社会公众意见,完整填写公平竞争审查表，如以人民政府或政府办名义出台请将政策措施草案和初审意见送市场监督管理部门审查。</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14:paraId="10C9483D">
            <w:pPr>
              <w:keepNext w:val="0"/>
              <w:keepLines w:val="0"/>
              <w:widowControl w:val="0"/>
              <w:suppressLineNumbers w:val="0"/>
              <w:autoSpaceDE w:val="0"/>
              <w:autoSpaceDN/>
              <w:spacing w:before="0" w:beforeAutospacing="0" w:after="0" w:afterAutospacing="0" w:line="360" w:lineRule="exact"/>
              <w:ind w:left="0" w:right="0"/>
              <w:jc w:val="center"/>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已采纳</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22BB1421">
            <w:pPr>
              <w:keepNext w:val="0"/>
              <w:keepLines w:val="0"/>
              <w:widowControl w:val="0"/>
              <w:suppressLineNumbers w:val="0"/>
              <w:autoSpaceDE w:val="0"/>
              <w:autoSpaceDN/>
              <w:spacing w:before="0" w:beforeAutospacing="0" w:after="0" w:afterAutospacing="0" w:line="360" w:lineRule="exact"/>
              <w:ind w:left="0" w:right="0"/>
              <w:jc w:val="both"/>
              <w:rPr>
                <w:rFonts w:hint="eastAsia" w:ascii="仿宋_GB2312" w:eastAsia="仿宋_GB2312" w:cs="仿宋_GB2312"/>
                <w:kern w:val="2"/>
                <w:sz w:val="32"/>
                <w:szCs w:val="32"/>
              </w:rPr>
            </w:pPr>
          </w:p>
        </w:tc>
      </w:tr>
      <w:tr w14:paraId="487E6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0"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14:paraId="62173BD9">
            <w:pPr>
              <w:keepNext w:val="0"/>
              <w:keepLines w:val="0"/>
              <w:widowControl w:val="0"/>
              <w:suppressLineNumbers w:val="0"/>
              <w:autoSpaceDE w:val="0"/>
              <w:autoSpaceDN/>
              <w:spacing w:before="0" w:beforeAutospacing="0" w:after="0" w:afterAutospacing="0" w:line="360" w:lineRule="exact"/>
              <w:ind w:left="0" w:right="0"/>
              <w:jc w:val="center"/>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2</w:t>
            </w:r>
          </w:p>
        </w:tc>
        <w:tc>
          <w:tcPr>
            <w:tcW w:w="1435" w:type="dxa"/>
            <w:tcBorders>
              <w:top w:val="single" w:color="auto" w:sz="4" w:space="0"/>
              <w:left w:val="single" w:color="auto" w:sz="4" w:space="0"/>
              <w:bottom w:val="single" w:color="auto" w:sz="4" w:space="0"/>
              <w:right w:val="single" w:color="auto" w:sz="4" w:space="0"/>
            </w:tcBorders>
            <w:shd w:val="clear" w:color="auto" w:fill="auto"/>
            <w:vAlign w:val="center"/>
          </w:tcPr>
          <w:p w14:paraId="3ACD2EC6">
            <w:pPr>
              <w:keepNext w:val="0"/>
              <w:keepLines w:val="0"/>
              <w:widowControl/>
              <w:suppressLineNumbers w:val="0"/>
              <w:autoSpaceDE w:val="0"/>
              <w:autoSpaceDN/>
              <w:spacing w:before="0" w:beforeAutospacing="0" w:after="0" w:afterAutospacing="0" w:line="360" w:lineRule="exact"/>
              <w:ind w:left="0" w:right="0"/>
              <w:jc w:val="center"/>
              <w:textAlignment w:val="center"/>
              <w:rPr>
                <w:rFonts w:hint="eastAsia" w:ascii="仿宋_GB2312" w:eastAsia="仿宋_GB2312" w:cs="仿宋_GB2312"/>
                <w:kern w:val="2"/>
                <w:sz w:val="32"/>
                <w:szCs w:val="32"/>
              </w:rPr>
            </w:pPr>
            <w:r>
              <w:rPr>
                <w:rFonts w:hint="eastAsia" w:ascii="仿宋_GB2312" w:hAnsi="Calibri" w:eastAsia="仿宋_GB2312" w:cs="仿宋_GB2312"/>
                <w:i w:val="0"/>
                <w:iCs w:val="0"/>
                <w:color w:val="000000"/>
                <w:kern w:val="0"/>
                <w:sz w:val="28"/>
                <w:szCs w:val="28"/>
                <w:lang w:val="en-US" w:eastAsia="zh-CN" w:bidi="ar"/>
              </w:rPr>
              <w:t>县财政局</w:t>
            </w:r>
          </w:p>
        </w:tc>
        <w:tc>
          <w:tcPr>
            <w:tcW w:w="10605" w:type="dxa"/>
            <w:tcBorders>
              <w:top w:val="single" w:color="auto" w:sz="4" w:space="0"/>
              <w:left w:val="single" w:color="auto" w:sz="4" w:space="0"/>
              <w:bottom w:val="single" w:color="auto" w:sz="4" w:space="0"/>
              <w:right w:val="single" w:color="auto" w:sz="4" w:space="0"/>
            </w:tcBorders>
            <w:shd w:val="clear" w:color="auto" w:fill="auto"/>
            <w:vAlign w:val="center"/>
          </w:tcPr>
          <w:p w14:paraId="64F23F37">
            <w:pPr>
              <w:keepNext w:val="0"/>
              <w:keepLines w:val="0"/>
              <w:widowControl/>
              <w:suppressLineNumbers w:val="0"/>
              <w:autoSpaceDE w:val="0"/>
              <w:autoSpaceDN/>
              <w:spacing w:before="0" w:beforeAutospacing="0" w:after="0" w:afterAutospacing="0" w:line="360" w:lineRule="exact"/>
              <w:ind w:left="0" w:right="0"/>
              <w:jc w:val="both"/>
              <w:textAlignment w:val="center"/>
              <w:rPr>
                <w:rFonts w:hint="eastAsia" w:ascii="仿宋_GB2312" w:eastAsia="仿宋_GB2312" w:cs="仿宋_GB2312"/>
                <w:kern w:val="2"/>
                <w:sz w:val="32"/>
                <w:szCs w:val="32"/>
              </w:rPr>
            </w:pPr>
            <w:r>
              <w:rPr>
                <w:rFonts w:hint="eastAsia" w:ascii="仿宋_GB2312" w:hAnsi="Calibri" w:eastAsia="仿宋_GB2312" w:cs="仿宋_GB2312"/>
                <w:i w:val="0"/>
                <w:iCs w:val="0"/>
                <w:color w:val="000000"/>
                <w:kern w:val="0"/>
                <w:sz w:val="28"/>
                <w:szCs w:val="28"/>
                <w:lang w:val="en-US" w:eastAsia="zh-CN" w:bidi="ar"/>
              </w:rPr>
              <w:t>1.“二、工作举措……3.发动干部职工参与。充分发动干部职工积极参与单位招培引学工作，利用自身资源或优势把县外党政军群企事业单位引入大余开展红色培训。完成引进的，单位和个人可按奖励办法分别兑现带班费和引学费用”。拟建议修改为:“二、工作举措……3.发动干部职工参与。充分发动干部职工积极参与单位招培引学工作，利用自身资源或优势把县外党政军群企事业单位引入大余开展红色培训。”</w:t>
            </w:r>
            <w:r>
              <w:rPr>
                <w:rFonts w:hint="eastAsia" w:ascii="仿宋_GB2312" w:hAnsi="Calibri" w:eastAsia="仿宋_GB2312" w:cs="仿宋_GB2312"/>
                <w:i w:val="0"/>
                <w:iCs w:val="0"/>
                <w:color w:val="000000"/>
                <w:kern w:val="0"/>
                <w:sz w:val="28"/>
                <w:szCs w:val="28"/>
                <w:lang w:val="en-US" w:eastAsia="zh-CN" w:bidi="ar"/>
              </w:rPr>
              <w:br w:type="textWrapping"/>
            </w:r>
            <w:r>
              <w:rPr>
                <w:rFonts w:hint="eastAsia" w:ascii="仿宋_GB2312" w:hAnsi="Calibri" w:eastAsia="仿宋_GB2312" w:cs="仿宋_GB2312"/>
                <w:i w:val="0"/>
                <w:iCs w:val="0"/>
                <w:color w:val="000000"/>
                <w:kern w:val="0"/>
                <w:sz w:val="28"/>
                <w:szCs w:val="28"/>
                <w:lang w:val="en-US" w:eastAsia="zh-CN" w:bidi="ar"/>
              </w:rPr>
              <w:t>2.教学费用“一班一议”收费标准由发改部门按规定核定。</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14:paraId="761A593D">
            <w:pPr>
              <w:keepNext w:val="0"/>
              <w:keepLines w:val="0"/>
              <w:widowControl w:val="0"/>
              <w:suppressLineNumbers w:val="0"/>
              <w:autoSpaceDE w:val="0"/>
              <w:autoSpaceDN/>
              <w:spacing w:before="0" w:beforeAutospacing="0" w:after="0" w:afterAutospacing="0" w:line="360" w:lineRule="exact"/>
              <w:ind w:left="0" w:right="0"/>
              <w:jc w:val="center"/>
              <w:rPr>
                <w:rFonts w:hint="eastAsia" w:ascii="仿宋_GB2312" w:eastAsia="仿宋_GB2312" w:cs="仿宋_GB2312"/>
                <w:kern w:val="2"/>
                <w:sz w:val="28"/>
                <w:szCs w:val="28"/>
              </w:rPr>
            </w:pPr>
            <w:r>
              <w:rPr>
                <w:rFonts w:hint="eastAsia" w:ascii="仿宋_GB2312" w:hAnsi="Calibri" w:eastAsia="仿宋_GB2312" w:cs="仿宋_GB2312"/>
                <w:kern w:val="2"/>
                <w:sz w:val="28"/>
                <w:szCs w:val="28"/>
                <w:lang w:val="en-US" w:eastAsia="zh-CN" w:bidi="ar"/>
              </w:rPr>
              <w:t>已采纳</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44E0BB24">
            <w:pPr>
              <w:keepNext w:val="0"/>
              <w:keepLines w:val="0"/>
              <w:widowControl w:val="0"/>
              <w:suppressLineNumbers w:val="0"/>
              <w:autoSpaceDE w:val="0"/>
              <w:autoSpaceDN/>
              <w:spacing w:before="0" w:beforeAutospacing="0" w:after="0" w:afterAutospacing="0" w:line="360" w:lineRule="exact"/>
              <w:ind w:left="0" w:right="0"/>
              <w:jc w:val="both"/>
              <w:rPr>
                <w:rFonts w:hint="eastAsia" w:ascii="仿宋_GB2312" w:eastAsia="仿宋_GB2312" w:cs="仿宋_GB2312"/>
                <w:kern w:val="2"/>
                <w:sz w:val="32"/>
                <w:szCs w:val="32"/>
              </w:rPr>
            </w:pPr>
          </w:p>
        </w:tc>
      </w:tr>
      <w:tr w14:paraId="2842B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09"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14:paraId="120B3C1F">
            <w:pPr>
              <w:keepNext w:val="0"/>
              <w:keepLines w:val="0"/>
              <w:widowControl w:val="0"/>
              <w:suppressLineNumbers w:val="0"/>
              <w:autoSpaceDE w:val="0"/>
              <w:autoSpaceDN/>
              <w:spacing w:before="0" w:beforeAutospacing="0" w:after="0" w:afterAutospacing="0" w:line="360" w:lineRule="exact"/>
              <w:ind w:left="0" w:right="0"/>
              <w:jc w:val="center"/>
              <w:rPr>
                <w:rFonts w:hint="eastAsia" w:ascii="仿宋_GB2312" w:eastAsia="仿宋_GB2312" w:cs="仿宋_GB2312"/>
                <w:kern w:val="2"/>
                <w:sz w:val="32"/>
                <w:szCs w:val="32"/>
              </w:rPr>
            </w:pPr>
            <w:r>
              <w:rPr>
                <w:rFonts w:hint="eastAsia" w:ascii="仿宋_GB2312" w:hAnsi="Calibri" w:eastAsia="仿宋_GB2312" w:cs="仿宋_GB2312"/>
                <w:kern w:val="2"/>
                <w:sz w:val="32"/>
                <w:szCs w:val="32"/>
                <w:lang w:val="en-US" w:eastAsia="zh-CN" w:bidi="ar"/>
              </w:rPr>
              <w:t>3</w:t>
            </w:r>
          </w:p>
        </w:tc>
        <w:tc>
          <w:tcPr>
            <w:tcW w:w="1435" w:type="dxa"/>
            <w:tcBorders>
              <w:top w:val="single" w:color="auto" w:sz="4" w:space="0"/>
              <w:left w:val="single" w:color="auto" w:sz="4" w:space="0"/>
              <w:bottom w:val="single" w:color="auto" w:sz="4" w:space="0"/>
              <w:right w:val="single" w:color="auto" w:sz="4" w:space="0"/>
            </w:tcBorders>
            <w:shd w:val="clear" w:color="auto" w:fill="auto"/>
            <w:vAlign w:val="center"/>
          </w:tcPr>
          <w:p w14:paraId="211DDF34">
            <w:pPr>
              <w:keepNext w:val="0"/>
              <w:keepLines w:val="0"/>
              <w:widowControl/>
              <w:suppressLineNumbers w:val="0"/>
              <w:autoSpaceDE w:val="0"/>
              <w:autoSpaceDN/>
              <w:spacing w:before="0" w:beforeAutospacing="0" w:after="0" w:afterAutospacing="0" w:line="360" w:lineRule="exact"/>
              <w:ind w:left="0" w:right="0"/>
              <w:jc w:val="center"/>
              <w:textAlignment w:val="center"/>
              <w:rPr>
                <w:rFonts w:hint="eastAsia" w:ascii="仿宋_GB2312" w:eastAsia="仿宋_GB2312" w:cs="仿宋_GB2312"/>
                <w:kern w:val="2"/>
                <w:sz w:val="32"/>
                <w:szCs w:val="32"/>
              </w:rPr>
            </w:pPr>
            <w:r>
              <w:rPr>
                <w:rFonts w:hint="eastAsia" w:ascii="仿宋_GB2312" w:hAnsi="Calibri" w:eastAsia="仿宋_GB2312" w:cs="仿宋_GB2312"/>
                <w:i w:val="0"/>
                <w:iCs w:val="0"/>
                <w:color w:val="000000"/>
                <w:kern w:val="0"/>
                <w:sz w:val="28"/>
                <w:szCs w:val="28"/>
                <w:lang w:val="en-US" w:eastAsia="zh-CN" w:bidi="ar"/>
              </w:rPr>
              <w:t>县委组织部</w:t>
            </w:r>
          </w:p>
        </w:tc>
        <w:tc>
          <w:tcPr>
            <w:tcW w:w="10605" w:type="dxa"/>
            <w:tcBorders>
              <w:top w:val="single" w:color="auto" w:sz="4" w:space="0"/>
              <w:left w:val="single" w:color="auto" w:sz="4" w:space="0"/>
              <w:bottom w:val="single" w:color="auto" w:sz="4" w:space="0"/>
              <w:right w:val="single" w:color="auto" w:sz="4" w:space="0"/>
            </w:tcBorders>
            <w:shd w:val="clear" w:color="auto" w:fill="auto"/>
            <w:vAlign w:val="center"/>
          </w:tcPr>
          <w:p w14:paraId="242754CA">
            <w:pPr>
              <w:keepNext w:val="0"/>
              <w:keepLines w:val="0"/>
              <w:widowControl/>
              <w:suppressLineNumbers w:val="0"/>
              <w:autoSpaceDE w:val="0"/>
              <w:autoSpaceDN/>
              <w:spacing w:before="0" w:beforeAutospacing="0" w:after="0" w:afterAutospacing="0" w:line="360" w:lineRule="exact"/>
              <w:ind w:left="0" w:right="0"/>
              <w:jc w:val="both"/>
              <w:textAlignment w:val="center"/>
              <w:rPr>
                <w:rFonts w:hint="eastAsia" w:ascii="仿宋_GB2312" w:eastAsia="仿宋_GB2312" w:cs="仿宋_GB2312"/>
                <w:kern w:val="2"/>
                <w:sz w:val="32"/>
                <w:szCs w:val="32"/>
              </w:rPr>
            </w:pPr>
            <w:r>
              <w:rPr>
                <w:rFonts w:hint="eastAsia" w:ascii="仿宋_GB2312" w:hAnsi="Calibri" w:eastAsia="仿宋_GB2312" w:cs="仿宋_GB2312"/>
                <w:i w:val="0"/>
                <w:iCs w:val="0"/>
                <w:color w:val="000000"/>
                <w:kern w:val="0"/>
                <w:sz w:val="28"/>
                <w:szCs w:val="28"/>
                <w:lang w:val="en-US" w:eastAsia="zh-CN" w:bidi="ar"/>
              </w:rPr>
              <w:t>1.建议将第1点主攻大湾区市场中“吸引大湾区团队来余开展红培、研学”修改为“吸引大湾区团队来余开展干部教育培训、红培研学等活动”;</w:t>
            </w:r>
            <w:r>
              <w:rPr>
                <w:rFonts w:hint="eastAsia" w:ascii="仿宋_GB2312" w:hAnsi="Calibri" w:eastAsia="仿宋_GB2312" w:cs="仿宋_GB2312"/>
                <w:i w:val="0"/>
                <w:iCs w:val="0"/>
                <w:color w:val="000000"/>
                <w:kern w:val="0"/>
                <w:sz w:val="28"/>
                <w:szCs w:val="28"/>
                <w:lang w:val="en-US" w:eastAsia="zh-CN" w:bidi="ar"/>
              </w:rPr>
              <w:br w:type="textWrapping"/>
            </w:r>
            <w:r>
              <w:rPr>
                <w:rFonts w:hint="eastAsia" w:ascii="仿宋_GB2312" w:hAnsi="Calibri" w:eastAsia="仿宋_GB2312" w:cs="仿宋_GB2312"/>
                <w:i w:val="0"/>
                <w:iCs w:val="0"/>
                <w:color w:val="000000"/>
                <w:kern w:val="0"/>
                <w:sz w:val="28"/>
                <w:szCs w:val="28"/>
                <w:lang w:val="en-US" w:eastAsia="zh-CN" w:bidi="ar"/>
              </w:rPr>
              <w:t>2.将第2点对接行业主管部门中“主动邀请国家、省、市行业主管部门和兄弟县(市、区)单位来余开展干部培训”修改为“主动邀请国家、省、市行业主管部门和兄弟县(市、</w:t>
            </w:r>
            <w:r>
              <w:rPr>
                <w:rFonts w:hint="eastAsia" w:ascii="仿宋_GB2312" w:hAnsi="Calibri" w:eastAsia="仿宋_GB2312" w:cs="仿宋_GB2312"/>
                <w:kern w:val="2"/>
                <w:sz w:val="32"/>
                <w:szCs w:val="32"/>
                <w:lang w:val="en-US" w:eastAsia="zh-CN" w:bidi="ar"/>
              </w:rPr>
              <w:t>已采纳</w:t>
            </w:r>
            <w:r>
              <w:rPr>
                <w:rFonts w:hint="eastAsia" w:ascii="仿宋_GB2312" w:hAnsi="Calibri" w:eastAsia="仿宋_GB2312" w:cs="仿宋_GB2312"/>
                <w:i w:val="0"/>
                <w:iCs w:val="0"/>
                <w:color w:val="000000"/>
                <w:kern w:val="0"/>
                <w:sz w:val="28"/>
                <w:szCs w:val="28"/>
                <w:lang w:val="en-US" w:eastAsia="zh-CN" w:bidi="ar"/>
              </w:rPr>
              <w:t>区)单位来余开展干部教育培训”;</w:t>
            </w:r>
            <w:r>
              <w:rPr>
                <w:rFonts w:hint="eastAsia" w:ascii="仿宋_GB2312" w:hAnsi="Calibri" w:eastAsia="仿宋_GB2312" w:cs="仿宋_GB2312"/>
                <w:i w:val="0"/>
                <w:iCs w:val="0"/>
                <w:color w:val="000000"/>
                <w:kern w:val="0"/>
                <w:sz w:val="28"/>
                <w:szCs w:val="28"/>
                <w:lang w:val="en-US" w:eastAsia="zh-CN" w:bidi="ar"/>
              </w:rPr>
              <w:br w:type="textWrapping"/>
            </w:r>
            <w:r>
              <w:rPr>
                <w:rFonts w:hint="eastAsia" w:ascii="仿宋_GB2312" w:hAnsi="Calibri" w:eastAsia="仿宋_GB2312" w:cs="仿宋_GB2312"/>
                <w:i w:val="0"/>
                <w:iCs w:val="0"/>
                <w:color w:val="000000"/>
                <w:kern w:val="0"/>
                <w:sz w:val="28"/>
                <w:szCs w:val="28"/>
                <w:lang w:val="en-US" w:eastAsia="zh-CN" w:bidi="ar"/>
              </w:rPr>
              <w:t>3.将第3点发动干部职工参与中的“利用自身资源或优势把县外党政军群企事业单位引入大余开展红色培训”修改为“利用自身资源或优势把县外党政军群企事业单位引入大余开展干部教育培训、红培研学等”。</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14:paraId="30F54960">
            <w:pPr>
              <w:keepNext w:val="0"/>
              <w:keepLines w:val="0"/>
              <w:widowControl/>
              <w:suppressLineNumbers w:val="0"/>
              <w:autoSpaceDE w:val="0"/>
              <w:autoSpaceDN/>
              <w:spacing w:before="0" w:beforeAutospacing="0" w:after="0" w:afterAutospacing="0" w:line="360" w:lineRule="exact"/>
              <w:ind w:left="0" w:right="0"/>
              <w:jc w:val="both"/>
              <w:textAlignment w:val="center"/>
              <w:rPr>
                <w:rFonts w:hint="eastAsia" w:ascii="仿宋_GB2312" w:eastAsia="仿宋_GB2312" w:cs="仿宋_GB2312"/>
                <w:kern w:val="2"/>
                <w:sz w:val="32"/>
                <w:szCs w:val="32"/>
              </w:rPr>
            </w:pPr>
            <w:r>
              <w:rPr>
                <w:rFonts w:hint="eastAsia" w:ascii="仿宋_GB2312" w:hAnsi="Calibri" w:eastAsia="仿宋_GB2312" w:cs="仿宋_GB2312"/>
                <w:i w:val="0"/>
                <w:iCs w:val="0"/>
                <w:color w:val="000000"/>
                <w:kern w:val="0"/>
                <w:sz w:val="28"/>
                <w:szCs w:val="28"/>
                <w:lang w:val="en-US" w:eastAsia="zh-CN" w:bidi="ar"/>
              </w:rPr>
              <w:t>已采纳</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52C59CF0">
            <w:pPr>
              <w:keepNext w:val="0"/>
              <w:keepLines w:val="0"/>
              <w:widowControl w:val="0"/>
              <w:suppressLineNumbers w:val="0"/>
              <w:autoSpaceDE w:val="0"/>
              <w:autoSpaceDN/>
              <w:spacing w:before="0" w:beforeAutospacing="0" w:after="0" w:afterAutospacing="0" w:line="360" w:lineRule="exact"/>
              <w:ind w:left="0" w:right="0"/>
              <w:jc w:val="both"/>
              <w:rPr>
                <w:rFonts w:hint="eastAsia" w:ascii="仿宋_GB2312" w:eastAsia="仿宋_GB2312" w:cs="仿宋_GB2312"/>
                <w:kern w:val="2"/>
                <w:sz w:val="32"/>
                <w:szCs w:val="32"/>
              </w:rPr>
            </w:pPr>
          </w:p>
        </w:tc>
      </w:tr>
      <w:tr w14:paraId="05B8A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06"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14:paraId="7CD815E4">
            <w:pPr>
              <w:keepNext w:val="0"/>
              <w:keepLines w:val="0"/>
              <w:widowControl w:val="0"/>
              <w:suppressLineNumbers w:val="0"/>
              <w:autoSpaceDE w:val="0"/>
              <w:autoSpaceDN/>
              <w:spacing w:before="0" w:beforeAutospacing="0" w:after="0" w:afterAutospacing="0" w:line="360" w:lineRule="exact"/>
              <w:ind w:left="0" w:right="0"/>
              <w:jc w:val="center"/>
              <w:rPr>
                <w:rFonts w:hint="default" w:ascii="仿宋_GB2312" w:hAnsi="Calibri" w:eastAsia="仿宋_GB2312" w:cs="仿宋_GB2312"/>
                <w:kern w:val="2"/>
                <w:sz w:val="32"/>
                <w:szCs w:val="32"/>
                <w:lang w:val="en-US" w:eastAsia="zh-CN" w:bidi="ar"/>
              </w:rPr>
            </w:pPr>
            <w:r>
              <w:rPr>
                <w:rFonts w:hint="eastAsia" w:ascii="仿宋_GB2312" w:hAnsi="Calibri" w:eastAsia="仿宋_GB2312" w:cs="仿宋_GB2312"/>
                <w:kern w:val="2"/>
                <w:sz w:val="32"/>
                <w:szCs w:val="32"/>
                <w:lang w:val="en-US" w:eastAsia="zh-CN" w:bidi="ar"/>
              </w:rPr>
              <w:t>4</w:t>
            </w:r>
          </w:p>
        </w:tc>
        <w:tc>
          <w:tcPr>
            <w:tcW w:w="1435" w:type="dxa"/>
            <w:tcBorders>
              <w:top w:val="single" w:color="auto" w:sz="4" w:space="0"/>
              <w:left w:val="single" w:color="auto" w:sz="4" w:space="0"/>
              <w:bottom w:val="single" w:color="auto" w:sz="4" w:space="0"/>
              <w:right w:val="single" w:color="auto" w:sz="4" w:space="0"/>
            </w:tcBorders>
            <w:shd w:val="clear" w:color="auto" w:fill="auto"/>
            <w:vAlign w:val="center"/>
          </w:tcPr>
          <w:p w14:paraId="601E3149">
            <w:pPr>
              <w:keepNext w:val="0"/>
              <w:keepLines w:val="0"/>
              <w:widowControl/>
              <w:suppressLineNumbers w:val="0"/>
              <w:autoSpaceDE w:val="0"/>
              <w:autoSpaceDN/>
              <w:spacing w:before="0" w:beforeAutospacing="0" w:after="0" w:afterAutospacing="0" w:line="360" w:lineRule="exact"/>
              <w:ind w:left="0" w:right="0"/>
              <w:jc w:val="center"/>
              <w:textAlignment w:val="center"/>
              <w:rPr>
                <w:rFonts w:hint="default" w:ascii="仿宋_GB2312" w:hAnsi="Calibri" w:eastAsia="仿宋_GB2312" w:cs="仿宋_GB2312"/>
                <w:i w:val="0"/>
                <w:iCs w:val="0"/>
                <w:color w:val="000000"/>
                <w:kern w:val="0"/>
                <w:sz w:val="28"/>
                <w:szCs w:val="28"/>
                <w:lang w:val="en-US" w:eastAsia="zh-CN" w:bidi="ar"/>
              </w:rPr>
            </w:pPr>
            <w:r>
              <w:rPr>
                <w:rFonts w:hint="eastAsia" w:ascii="仿宋_GB2312" w:hAnsi="Calibri" w:eastAsia="仿宋_GB2312" w:cs="仿宋_GB2312"/>
                <w:i w:val="0"/>
                <w:iCs w:val="0"/>
                <w:color w:val="000000"/>
                <w:kern w:val="0"/>
                <w:sz w:val="28"/>
                <w:szCs w:val="28"/>
                <w:lang w:val="en-US" w:eastAsia="zh-CN" w:bidi="ar"/>
              </w:rPr>
              <w:t>县发改委</w:t>
            </w:r>
          </w:p>
        </w:tc>
        <w:tc>
          <w:tcPr>
            <w:tcW w:w="10605" w:type="dxa"/>
            <w:tcBorders>
              <w:top w:val="single" w:color="auto" w:sz="4" w:space="0"/>
              <w:left w:val="single" w:color="auto" w:sz="4" w:space="0"/>
              <w:bottom w:val="single" w:color="auto" w:sz="4" w:space="0"/>
              <w:right w:val="single" w:color="auto" w:sz="4" w:space="0"/>
            </w:tcBorders>
            <w:shd w:val="clear" w:color="auto" w:fill="auto"/>
            <w:vAlign w:val="center"/>
          </w:tcPr>
          <w:p w14:paraId="1F8AC0CF">
            <w:pPr>
              <w:keepNext w:val="0"/>
              <w:keepLines w:val="0"/>
              <w:widowControl/>
              <w:suppressLineNumbers w:val="0"/>
              <w:autoSpaceDE w:val="0"/>
              <w:autoSpaceDN/>
              <w:spacing w:before="0" w:beforeAutospacing="0" w:after="0" w:afterAutospacing="0" w:line="360" w:lineRule="exact"/>
              <w:ind w:left="0" w:right="0"/>
              <w:jc w:val="both"/>
              <w:textAlignment w:val="center"/>
              <w:rPr>
                <w:rFonts w:hint="default" w:ascii="仿宋_GB2312" w:hAnsi="Calibri" w:eastAsia="仿宋_GB2312" w:cs="仿宋_GB2312"/>
                <w:i w:val="0"/>
                <w:iCs w:val="0"/>
                <w:color w:val="000000"/>
                <w:kern w:val="0"/>
                <w:sz w:val="28"/>
                <w:szCs w:val="28"/>
                <w:lang w:val="en-US" w:eastAsia="zh-CN" w:bidi="ar"/>
              </w:rPr>
            </w:pPr>
            <w:r>
              <w:rPr>
                <w:rFonts w:hint="eastAsia" w:ascii="仿宋_GB2312" w:hAnsi="Calibri" w:eastAsia="仿宋_GB2312" w:cs="仿宋_GB2312"/>
                <w:i w:val="0"/>
                <w:iCs w:val="0"/>
                <w:color w:val="000000"/>
                <w:kern w:val="0"/>
                <w:sz w:val="28"/>
                <w:szCs w:val="28"/>
                <w:lang w:val="en-US" w:eastAsia="zh-CN" w:bidi="ar"/>
              </w:rPr>
              <w:t>附件中“讲课费”收费单位为“元/场”的，根据中共江西省委组织部、江西省财政厅、江西省公务员局《关于印发江西省省直机关培训费管理办法的通知》（赣财行字</w:t>
            </w:r>
            <w:r>
              <w:rPr>
                <w:rFonts w:hint="eastAsia" w:ascii="仿宋_GB2312" w:hAnsi="仿宋_GB2312" w:eastAsia="仿宋_GB2312" w:cs="仿宋_GB2312"/>
                <w:i w:val="0"/>
                <w:iCs w:val="0"/>
                <w:color w:val="000000"/>
                <w:kern w:val="0"/>
                <w:sz w:val="28"/>
                <w:szCs w:val="28"/>
                <w:lang w:val="en-US" w:eastAsia="zh-CN" w:bidi="ar"/>
              </w:rPr>
              <w:t>〔2017〕27号</w:t>
            </w:r>
            <w:r>
              <w:rPr>
                <w:rFonts w:hint="eastAsia" w:ascii="仿宋_GB2312" w:hAnsi="Calibri" w:eastAsia="仿宋_GB2312" w:cs="仿宋_GB2312"/>
                <w:i w:val="0"/>
                <w:iCs w:val="0"/>
                <w:color w:val="000000"/>
                <w:kern w:val="0"/>
                <w:sz w:val="28"/>
                <w:szCs w:val="28"/>
                <w:lang w:val="en-US" w:eastAsia="zh-CN" w:bidi="ar"/>
              </w:rPr>
              <w:t>）和中共赣州市委组织部、赣州市财政局、赣州市人力资源和社会保障局《关于印发赣州市直机关培训费管理办法的通知》（赣市财行字</w:t>
            </w:r>
            <w:r>
              <w:rPr>
                <w:rFonts w:hint="eastAsia" w:ascii="仿宋_GB2312" w:hAnsi="仿宋_GB2312" w:eastAsia="仿宋_GB2312" w:cs="仿宋_GB2312"/>
                <w:i w:val="0"/>
                <w:iCs w:val="0"/>
                <w:color w:val="000000"/>
                <w:kern w:val="0"/>
                <w:sz w:val="28"/>
                <w:szCs w:val="28"/>
                <w:lang w:val="en-US" w:eastAsia="zh-CN" w:bidi="ar"/>
              </w:rPr>
              <w:t>〔2017〕90号</w:t>
            </w:r>
            <w:r>
              <w:rPr>
                <w:rFonts w:hint="eastAsia" w:ascii="仿宋_GB2312" w:hAnsi="Calibri" w:eastAsia="仿宋_GB2312" w:cs="仿宋_GB2312"/>
                <w:i w:val="0"/>
                <w:iCs w:val="0"/>
                <w:color w:val="000000"/>
                <w:kern w:val="0"/>
                <w:sz w:val="28"/>
                <w:szCs w:val="28"/>
                <w:lang w:val="en-US" w:eastAsia="zh-CN" w:bidi="ar"/>
              </w:rPr>
              <w:t>）文件规定，建议在“讲课费”项下增加每场按多少学时的备注，或“讲课费”收费单位修改为“元/学时”，收费标准同步进行调整。</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14:paraId="309F706E">
            <w:pPr>
              <w:keepNext w:val="0"/>
              <w:keepLines w:val="0"/>
              <w:widowControl/>
              <w:suppressLineNumbers w:val="0"/>
              <w:autoSpaceDE w:val="0"/>
              <w:autoSpaceDN/>
              <w:spacing w:before="0" w:beforeAutospacing="0" w:after="0" w:afterAutospacing="0" w:line="360" w:lineRule="exact"/>
              <w:ind w:left="0" w:right="0"/>
              <w:jc w:val="both"/>
              <w:textAlignment w:val="center"/>
              <w:rPr>
                <w:rFonts w:hint="default" w:ascii="仿宋_GB2312" w:hAnsi="Calibri" w:eastAsia="仿宋_GB2312" w:cs="仿宋_GB2312"/>
                <w:i w:val="0"/>
                <w:iCs w:val="0"/>
                <w:color w:val="000000"/>
                <w:kern w:val="0"/>
                <w:sz w:val="28"/>
                <w:szCs w:val="28"/>
                <w:lang w:val="en-US" w:eastAsia="zh-CN" w:bidi="ar"/>
              </w:rPr>
            </w:pPr>
            <w:r>
              <w:rPr>
                <w:rFonts w:hint="eastAsia" w:ascii="仿宋_GB2312" w:hAnsi="Calibri" w:eastAsia="仿宋_GB2312" w:cs="仿宋_GB2312"/>
                <w:i w:val="0"/>
                <w:iCs w:val="0"/>
                <w:color w:val="000000"/>
                <w:kern w:val="0"/>
                <w:sz w:val="28"/>
                <w:szCs w:val="28"/>
                <w:lang w:val="en-US" w:eastAsia="zh-CN" w:bidi="ar"/>
              </w:rPr>
              <w:t>已采纳</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6D3512C9">
            <w:pPr>
              <w:keepNext w:val="0"/>
              <w:keepLines w:val="0"/>
              <w:widowControl w:val="0"/>
              <w:suppressLineNumbers w:val="0"/>
              <w:autoSpaceDE w:val="0"/>
              <w:autoSpaceDN/>
              <w:spacing w:before="0" w:beforeAutospacing="0" w:after="0" w:afterAutospacing="0" w:line="360" w:lineRule="exact"/>
              <w:ind w:left="0" w:right="0"/>
              <w:jc w:val="both"/>
              <w:rPr>
                <w:rFonts w:hint="eastAsia" w:ascii="仿宋_GB2312" w:eastAsia="仿宋_GB2312" w:cs="仿宋_GB2312"/>
                <w:kern w:val="2"/>
                <w:sz w:val="32"/>
                <w:szCs w:val="32"/>
              </w:rPr>
            </w:pPr>
          </w:p>
        </w:tc>
      </w:tr>
    </w:tbl>
    <w:p w14:paraId="1B4F77B0">
      <w:pPr>
        <w:keepNext w:val="0"/>
        <w:keepLines w:val="0"/>
        <w:widowControl w:val="0"/>
        <w:suppressLineNumbers w:val="0"/>
        <w:autoSpaceDE w:val="0"/>
        <w:autoSpaceDN/>
        <w:spacing w:before="0" w:beforeAutospacing="0" w:after="0" w:afterAutospacing="0" w:line="360" w:lineRule="exact"/>
        <w:ind w:left="0" w:right="0"/>
        <w:jc w:val="both"/>
      </w:pPr>
      <w:r>
        <w:rPr>
          <w:rFonts w:hint="eastAsia" w:ascii="仿宋_GB2312" w:hAnsi="宋体" w:eastAsia="仿宋_GB2312" w:cs="仿宋_GB2312"/>
          <w:kern w:val="2"/>
          <w:sz w:val="28"/>
          <w:szCs w:val="28"/>
          <w:lang w:val="en-US" w:eastAsia="zh-CN" w:bidi="ar"/>
        </w:rPr>
        <w:t>备注：附</w:t>
      </w:r>
      <w:r>
        <w:rPr>
          <w:rFonts w:hint="eastAsia" w:ascii="仿宋_GB2312" w:hAnsi="Calibri" w:eastAsia="仿宋_GB2312" w:cs="仿宋_GB2312"/>
          <w:i w:val="0"/>
          <w:iCs w:val="0"/>
          <w:color w:val="000000"/>
          <w:kern w:val="0"/>
          <w:sz w:val="28"/>
          <w:szCs w:val="28"/>
          <w:lang w:val="en-US" w:eastAsia="zh-CN" w:bidi="ar"/>
        </w:rPr>
        <w:t>县市场监督管理局</w:t>
      </w:r>
      <w:r>
        <w:rPr>
          <w:rFonts w:hint="eastAsia" w:ascii="仿宋_GB2312" w:hAnsi="宋体" w:eastAsia="仿宋_GB2312" w:cs="仿宋_GB2312"/>
          <w:kern w:val="2"/>
          <w:sz w:val="28"/>
          <w:szCs w:val="28"/>
          <w:lang w:val="en-US" w:eastAsia="zh-CN" w:bidi="ar"/>
        </w:rPr>
        <w:t>等</w:t>
      </w:r>
      <w:r>
        <w:rPr>
          <w:rFonts w:hint="eastAsia" w:ascii="宋体" w:hAnsi="宋体" w:eastAsia="宋体" w:cs="宋体"/>
          <w:kern w:val="2"/>
          <w:sz w:val="28"/>
          <w:szCs w:val="28"/>
          <w:lang w:val="en-US" w:eastAsia="zh-CN" w:bidi="ar"/>
        </w:rPr>
        <w:t>4</w:t>
      </w:r>
      <w:r>
        <w:rPr>
          <w:rFonts w:hint="eastAsia" w:ascii="仿宋_GB2312" w:hAnsi="宋体" w:eastAsia="仿宋_GB2312" w:cs="仿宋_GB2312"/>
          <w:kern w:val="2"/>
          <w:sz w:val="28"/>
          <w:szCs w:val="28"/>
          <w:lang w:val="en-US" w:eastAsia="zh-CN" w:bidi="ar"/>
        </w:rPr>
        <w:t>个单位反馈意见。（附已提出意见的）</w:t>
      </w:r>
      <w:bookmarkStart w:id="0" w:name="_GoBack"/>
      <w:bookmarkEnd w:id="0"/>
    </w:p>
    <w:sectPr>
      <w:pgSz w:w="16838" w:h="11906" w:orient="landscape"/>
      <w:pgMar w:top="1587" w:right="1587" w:bottom="1587"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890D6B"/>
    <w:rsid w:val="05C31D75"/>
    <w:rsid w:val="23E63A09"/>
    <w:rsid w:val="2F9741E6"/>
    <w:rsid w:val="317D1081"/>
    <w:rsid w:val="37440EBB"/>
    <w:rsid w:val="38165991"/>
    <w:rsid w:val="49CE7A4E"/>
    <w:rsid w:val="50460EDA"/>
    <w:rsid w:val="50C161F7"/>
    <w:rsid w:val="56660156"/>
    <w:rsid w:val="59F8444C"/>
    <w:rsid w:val="5F2809BD"/>
    <w:rsid w:val="5F6812F8"/>
    <w:rsid w:val="652A283B"/>
    <w:rsid w:val="6C341A20"/>
    <w:rsid w:val="6FEA1A53"/>
    <w:rsid w:val="701F74FE"/>
    <w:rsid w:val="7072257E"/>
    <w:rsid w:val="74E00ED6"/>
    <w:rsid w:val="7538388C"/>
    <w:rsid w:val="7C890D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986</Words>
  <Characters>1013</Characters>
  <Lines>1</Lines>
  <Paragraphs>1</Paragraphs>
  <TotalTime>4</TotalTime>
  <ScaleCrop>false</ScaleCrop>
  <LinksUpToDate>false</LinksUpToDate>
  <CharactersWithSpaces>1013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2025-04-15T03:40:00Z</dcterms:created>
  <dc:creator>莎士比叶</dc:creator>
  <cp:lastModifiedBy>莎士比叶</cp:lastModifiedBy>
  <dcterms:modified xsi:type="dcterms:W3CDTF">2025-06-17T08:40:57Z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75D7AEFE86F54ECDAE7B053FC62B3359_13</vt:lpwstr>
  </property>
  <property fmtid="{D5CDD505-2E9C-101B-9397-08002B2CF9AE}" pid="4" name="KSOTemplateDocerSaveRecord">
    <vt:lpwstr>eyJoZGlkIjoiMDMwZTQ3ZDMwZmE3MTU3NjllNDZlZWNhZmZlMmVjNTgiLCJ1c2VySWQiOiI0MDQwNDU0NjcifQ==</vt:lpwstr>
  </property>
</Properties>
</file>