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146099">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60" w:lineRule="exact"/>
        <w:ind w:left="0" w:leftChars="0" w:right="0" w:rightChars="0" w:firstLine="0" w:firstLineChars="0"/>
        <w:jc w:val="center"/>
        <w:textAlignment w:val="auto"/>
        <w:outlineLvl w:val="0"/>
        <w:rPr>
          <w:rFonts w:hint="eastAsia" w:ascii="Times New Roman" w:hAnsi="方正小标宋简体" w:eastAsia="方正小标宋简体" w:cs="方正小标宋简体"/>
          <w:b w:val="0"/>
          <w:snapToGrid w:val="0"/>
          <w:spacing w:val="0"/>
          <w:w w:val="100"/>
          <w:kern w:val="0"/>
          <w:position w:val="0"/>
          <w:sz w:val="44"/>
          <w:szCs w:val="44"/>
        </w:rPr>
      </w:pPr>
      <w:r>
        <w:rPr>
          <w:rFonts w:hint="eastAsia" w:ascii="Times New Roman" w:hAnsi="方正小标宋简体" w:eastAsia="方正小标宋简体" w:cs="方正小标宋简体"/>
          <w:b w:val="0"/>
          <w:snapToGrid w:val="0"/>
          <w:spacing w:val="0"/>
          <w:w w:val="100"/>
          <w:kern w:val="0"/>
          <w:position w:val="0"/>
          <w:sz w:val="44"/>
          <w:szCs w:val="44"/>
          <w:lang w:val="en-US" w:eastAsia="zh-CN"/>
        </w:rPr>
        <w:t>《大余县文旅产业发展扶持措施（修订）》</w:t>
      </w:r>
      <w:r>
        <w:rPr>
          <w:rFonts w:hint="eastAsia" w:ascii="Times New Roman" w:hAnsi="方正小标宋简体" w:eastAsia="方正小标宋简体" w:cs="方正小标宋简体"/>
          <w:b w:val="0"/>
          <w:snapToGrid w:val="0"/>
          <w:spacing w:val="0"/>
          <w:w w:val="100"/>
          <w:kern w:val="0"/>
          <w:position w:val="0"/>
          <w:sz w:val="44"/>
          <w:szCs w:val="44"/>
        </w:rPr>
        <w:t>的起草说明</w:t>
      </w:r>
    </w:p>
    <w:p w14:paraId="0490F5F3">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Times New Roman" w:hAnsi="仿宋_GB2312" w:eastAsia="仿宋_GB2312" w:cs="仿宋_GB2312"/>
          <w:b w:val="0"/>
          <w:snapToGrid w:val="0"/>
          <w:spacing w:val="0"/>
          <w:w w:val="100"/>
          <w:kern w:val="0"/>
          <w:position w:val="0"/>
          <w:sz w:val="32"/>
          <w:szCs w:val="32"/>
        </w:rPr>
      </w:pPr>
    </w:p>
    <w:p w14:paraId="02857254">
      <w:pPr>
        <w:keepNext/>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1"/>
        <w:rPr>
          <w:rFonts w:hint="eastAsia" w:ascii="Times New Roman" w:hAnsi="黑体" w:eastAsia="黑体" w:cs="黑体"/>
          <w:b w:val="0"/>
          <w:snapToGrid w:val="0"/>
          <w:spacing w:val="0"/>
          <w:w w:val="100"/>
          <w:kern w:val="0"/>
          <w:position w:val="0"/>
          <w:sz w:val="32"/>
          <w:szCs w:val="32"/>
        </w:rPr>
      </w:pPr>
      <w:r>
        <w:rPr>
          <w:rFonts w:hint="eastAsia" w:ascii="Times New Roman" w:hAnsi="黑体" w:eastAsia="黑体" w:cs="黑体"/>
          <w:b w:val="0"/>
          <w:snapToGrid w:val="0"/>
          <w:spacing w:val="0"/>
          <w:w w:val="100"/>
          <w:kern w:val="0"/>
          <w:position w:val="0"/>
          <w:sz w:val="32"/>
          <w:szCs w:val="32"/>
        </w:rPr>
        <w:t>一、起草主要背景和过程</w:t>
      </w:r>
    </w:p>
    <w:p w14:paraId="05A863DB">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2"/>
        <w:rPr>
          <w:rFonts w:hint="eastAsia" w:ascii="Times New Roman" w:hAnsi="楷体_GB2312" w:eastAsia="楷体_GB2312" w:cs="楷体_GB2312"/>
          <w:b w:val="0"/>
          <w:bCs/>
          <w:snapToGrid w:val="0"/>
          <w:spacing w:val="0"/>
          <w:w w:val="100"/>
          <w:kern w:val="0"/>
          <w:position w:val="0"/>
          <w:sz w:val="32"/>
          <w:szCs w:val="32"/>
        </w:rPr>
      </w:pPr>
      <w:r>
        <w:rPr>
          <w:rFonts w:hint="eastAsia" w:ascii="Times New Roman" w:hAnsi="楷体_GB2312" w:eastAsia="楷体_GB2312" w:cs="楷体_GB2312"/>
          <w:b w:val="0"/>
          <w:bCs/>
          <w:snapToGrid w:val="0"/>
          <w:spacing w:val="0"/>
          <w:w w:val="100"/>
          <w:kern w:val="0"/>
          <w:position w:val="0"/>
          <w:sz w:val="32"/>
          <w:szCs w:val="32"/>
        </w:rPr>
        <w:t>（一）起草背景</w:t>
      </w:r>
    </w:p>
    <w:p w14:paraId="46FE734E">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snapToGrid w:val="0"/>
          <w:spacing w:val="0"/>
          <w:w w:val="100"/>
          <w:kern w:val="0"/>
          <w:position w:val="0"/>
          <w:sz w:val="32"/>
          <w:szCs w:val="32"/>
          <w:lang w:val="en-US" w:eastAsia="zh-CN"/>
        </w:rPr>
      </w:pPr>
      <w:r>
        <w:rPr>
          <w:rFonts w:hint="eastAsia" w:ascii="仿宋_GB2312" w:hAnsi="仿宋_GB2312" w:eastAsia="仿宋_GB2312" w:cs="仿宋_GB2312"/>
          <w:b w:val="0"/>
          <w:snapToGrid w:val="0"/>
          <w:spacing w:val="0"/>
          <w:w w:val="100"/>
          <w:kern w:val="0"/>
          <w:position w:val="0"/>
          <w:sz w:val="32"/>
          <w:szCs w:val="32"/>
          <w:lang w:val="en-US" w:eastAsia="zh-CN"/>
        </w:rPr>
        <w:t>2025年2月20日，赣州市人民政府办公室印发了《关于赣州市支持文旅产业发展若干措施的通知》（赣市府办字〔2025〕12号）。为做热我县文旅消费市场，提升文旅产业发展活力，加快打造粤港澳大湾区文旅康养基地，县文广旅局结合我县工作实际，起草了《大余县文旅产业发展扶持措施（修订）》。</w:t>
      </w:r>
    </w:p>
    <w:p w14:paraId="0B447743">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2"/>
        <w:rPr>
          <w:rFonts w:hint="eastAsia" w:ascii="Times New Roman" w:hAnsi="楷体_GB2312" w:eastAsia="楷体_GB2312" w:cs="楷体_GB2312"/>
          <w:b w:val="0"/>
          <w:bCs/>
          <w:snapToGrid w:val="0"/>
          <w:spacing w:val="0"/>
          <w:w w:val="100"/>
          <w:kern w:val="0"/>
          <w:position w:val="0"/>
          <w:sz w:val="32"/>
          <w:szCs w:val="32"/>
        </w:rPr>
      </w:pPr>
      <w:r>
        <w:rPr>
          <w:rFonts w:hint="eastAsia" w:ascii="Times New Roman" w:hAnsi="楷体_GB2312" w:eastAsia="楷体_GB2312" w:cs="楷体_GB2312"/>
          <w:b w:val="0"/>
          <w:bCs/>
          <w:snapToGrid w:val="0"/>
          <w:spacing w:val="0"/>
          <w:w w:val="100"/>
          <w:kern w:val="0"/>
          <w:position w:val="0"/>
          <w:sz w:val="32"/>
          <w:szCs w:val="32"/>
        </w:rPr>
        <w:t>（二）起草过程</w:t>
      </w:r>
    </w:p>
    <w:p w14:paraId="5CA3E811">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snapToGrid w:val="0"/>
          <w:spacing w:val="0"/>
          <w:w w:val="100"/>
          <w:kern w:val="0"/>
          <w:position w:val="0"/>
          <w:sz w:val="32"/>
          <w:szCs w:val="32"/>
          <w:lang w:eastAsia="zh-CN"/>
        </w:rPr>
      </w:pPr>
      <w:r>
        <w:rPr>
          <w:rFonts w:hint="eastAsia" w:ascii="仿宋_GB2312" w:hAnsi="仿宋_GB2312" w:eastAsia="仿宋_GB2312" w:cs="仿宋_GB2312"/>
          <w:b w:val="0"/>
          <w:snapToGrid w:val="0"/>
          <w:spacing w:val="0"/>
          <w:w w:val="100"/>
          <w:kern w:val="0"/>
          <w:position w:val="0"/>
          <w:sz w:val="32"/>
          <w:szCs w:val="32"/>
        </w:rPr>
        <w:t>起草过程主要经历</w:t>
      </w:r>
      <w:r>
        <w:rPr>
          <w:rFonts w:hint="eastAsia" w:ascii="仿宋_GB2312" w:hAnsi="仿宋_GB2312" w:eastAsia="仿宋_GB2312" w:cs="仿宋_GB2312"/>
          <w:b w:val="0"/>
          <w:snapToGrid w:val="0"/>
          <w:spacing w:val="0"/>
          <w:w w:val="100"/>
          <w:kern w:val="0"/>
          <w:position w:val="0"/>
          <w:sz w:val="32"/>
          <w:szCs w:val="32"/>
          <w:lang w:eastAsia="zh-CN"/>
        </w:rPr>
        <w:t>四</w:t>
      </w:r>
      <w:r>
        <w:rPr>
          <w:rFonts w:hint="eastAsia" w:ascii="仿宋_GB2312" w:hAnsi="仿宋_GB2312" w:eastAsia="仿宋_GB2312" w:cs="仿宋_GB2312"/>
          <w:b w:val="0"/>
          <w:snapToGrid w:val="0"/>
          <w:spacing w:val="0"/>
          <w:w w:val="100"/>
          <w:kern w:val="0"/>
          <w:position w:val="0"/>
          <w:sz w:val="32"/>
          <w:szCs w:val="32"/>
        </w:rPr>
        <w:t>个阶段：</w:t>
      </w:r>
      <w:r>
        <w:rPr>
          <w:rFonts w:hint="eastAsia" w:ascii="仿宋_GB2312" w:hAnsi="仿宋_GB2312" w:eastAsia="仿宋_GB2312" w:cs="仿宋_GB2312"/>
          <w:b w:val="0"/>
          <w:snapToGrid w:val="0"/>
          <w:spacing w:val="0"/>
          <w:w w:val="100"/>
          <w:kern w:val="0"/>
          <w:position w:val="0"/>
          <w:sz w:val="32"/>
          <w:szCs w:val="32"/>
          <w:lang w:eastAsia="zh-CN"/>
        </w:rPr>
        <w:t>一是学习调研。前往广州旅行社开展调研，深入了解广州地区旅行社的运营模式、客源结构以及对旅游线路的规划和推广策略等，为后续引客工作积累经验；3月26日，由县领导带队专程赴龙南等地开展引客调研，深入了解龙南在引客方面的成功经验和有效措施，为我县引客工作提供有力参考；4月20日，赴深圳相关旅行社调研，</w:t>
      </w:r>
      <w:r>
        <w:rPr>
          <w:rFonts w:hint="eastAsia" w:ascii="仿宋_GB2312" w:hAnsi="仿宋_GB2312" w:eastAsia="仿宋_GB2312" w:cs="仿宋_GB2312"/>
          <w:b w:val="0"/>
          <w:snapToGrid w:val="0"/>
          <w:spacing w:val="0"/>
          <w:w w:val="100"/>
          <w:kern w:val="0"/>
          <w:position w:val="0"/>
          <w:sz w:val="32"/>
          <w:szCs w:val="32"/>
          <w:lang w:val="en-US" w:eastAsia="zh-CN"/>
        </w:rPr>
        <w:t>听取</w:t>
      </w:r>
      <w:r>
        <w:rPr>
          <w:rFonts w:hint="eastAsia" w:ascii="仿宋_GB2312" w:hAnsi="仿宋_GB2312" w:eastAsia="仿宋_GB2312" w:cs="仿宋_GB2312"/>
          <w:b w:val="0"/>
          <w:snapToGrid w:val="0"/>
          <w:spacing w:val="0"/>
          <w:w w:val="100"/>
          <w:kern w:val="0"/>
          <w:position w:val="0"/>
          <w:sz w:val="32"/>
          <w:szCs w:val="32"/>
          <w:lang w:eastAsia="zh-CN"/>
        </w:rPr>
        <w:t>我县旅游</w:t>
      </w:r>
      <w:r>
        <w:rPr>
          <w:rFonts w:hint="eastAsia" w:ascii="仿宋_GB2312" w:hAnsi="仿宋_GB2312" w:eastAsia="仿宋_GB2312" w:cs="仿宋_GB2312"/>
          <w:b w:val="0"/>
          <w:snapToGrid w:val="0"/>
          <w:spacing w:val="0"/>
          <w:w w:val="100"/>
          <w:kern w:val="0"/>
          <w:position w:val="0"/>
          <w:sz w:val="32"/>
          <w:szCs w:val="32"/>
          <w:lang w:val="en-US" w:eastAsia="zh-CN"/>
        </w:rPr>
        <w:t>主要</w:t>
      </w:r>
      <w:r>
        <w:rPr>
          <w:rFonts w:hint="eastAsia" w:ascii="仿宋_GB2312" w:hAnsi="仿宋_GB2312" w:eastAsia="仿宋_GB2312" w:cs="仿宋_GB2312"/>
          <w:b w:val="0"/>
          <w:snapToGrid w:val="0"/>
          <w:spacing w:val="0"/>
          <w:w w:val="100"/>
          <w:kern w:val="0"/>
          <w:position w:val="0"/>
          <w:sz w:val="32"/>
          <w:szCs w:val="32"/>
          <w:lang w:eastAsia="zh-CN"/>
        </w:rPr>
        <w:t>客源市场</w:t>
      </w:r>
      <w:r>
        <w:rPr>
          <w:rFonts w:hint="eastAsia" w:ascii="仿宋_GB2312" w:hAnsi="仿宋_GB2312" w:eastAsia="仿宋_GB2312" w:cs="仿宋_GB2312"/>
          <w:b w:val="0"/>
          <w:snapToGrid w:val="0"/>
          <w:spacing w:val="0"/>
          <w:w w:val="100"/>
          <w:kern w:val="0"/>
          <w:position w:val="0"/>
          <w:sz w:val="32"/>
          <w:szCs w:val="32"/>
          <w:lang w:val="en-US" w:eastAsia="zh-CN"/>
        </w:rPr>
        <w:t>意见</w:t>
      </w:r>
      <w:r>
        <w:rPr>
          <w:rFonts w:hint="eastAsia" w:ascii="仿宋_GB2312" w:hAnsi="仿宋_GB2312" w:eastAsia="仿宋_GB2312" w:cs="仿宋_GB2312"/>
          <w:b w:val="0"/>
          <w:snapToGrid w:val="0"/>
          <w:spacing w:val="0"/>
          <w:w w:val="100"/>
          <w:kern w:val="0"/>
          <w:position w:val="0"/>
          <w:sz w:val="32"/>
          <w:szCs w:val="32"/>
          <w:lang w:eastAsia="zh-CN"/>
        </w:rPr>
        <w:t>；4月21日，</w:t>
      </w:r>
      <w:r>
        <w:rPr>
          <w:rFonts w:hint="eastAsia" w:ascii="仿宋_GB2312" w:hAnsi="仿宋_GB2312" w:eastAsia="仿宋_GB2312" w:cs="仿宋_GB2312"/>
          <w:b w:val="0"/>
          <w:snapToGrid w:val="0"/>
          <w:spacing w:val="0"/>
          <w:w w:val="100"/>
          <w:kern w:val="0"/>
          <w:position w:val="0"/>
          <w:sz w:val="32"/>
          <w:szCs w:val="32"/>
          <w:lang w:val="en-US" w:eastAsia="zh-CN"/>
        </w:rPr>
        <w:t>前往</w:t>
      </w:r>
      <w:r>
        <w:rPr>
          <w:rFonts w:hint="eastAsia" w:ascii="仿宋_GB2312" w:hAnsi="仿宋_GB2312" w:eastAsia="仿宋_GB2312" w:cs="仿宋_GB2312"/>
          <w:b w:val="0"/>
          <w:snapToGrid w:val="0"/>
          <w:spacing w:val="0"/>
          <w:w w:val="100"/>
          <w:kern w:val="0"/>
          <w:position w:val="0"/>
          <w:sz w:val="32"/>
          <w:szCs w:val="32"/>
          <w:lang w:eastAsia="zh-CN"/>
        </w:rPr>
        <w:t>丫山</w:t>
      </w:r>
      <w:r>
        <w:rPr>
          <w:rFonts w:hint="eastAsia" w:ascii="仿宋_GB2312" w:hAnsi="仿宋_GB2312" w:eastAsia="仿宋_GB2312" w:cs="仿宋_GB2312"/>
          <w:b w:val="0"/>
          <w:snapToGrid w:val="0"/>
          <w:spacing w:val="0"/>
          <w:w w:val="100"/>
          <w:kern w:val="0"/>
          <w:position w:val="0"/>
          <w:sz w:val="32"/>
          <w:szCs w:val="32"/>
          <w:lang w:val="en-US" w:eastAsia="zh-CN"/>
        </w:rPr>
        <w:t>旅游度区</w:t>
      </w:r>
      <w:r>
        <w:rPr>
          <w:rFonts w:hint="eastAsia" w:ascii="仿宋_GB2312" w:hAnsi="仿宋_GB2312" w:eastAsia="仿宋_GB2312" w:cs="仿宋_GB2312"/>
          <w:b w:val="0"/>
          <w:snapToGrid w:val="0"/>
          <w:spacing w:val="0"/>
          <w:w w:val="100"/>
          <w:kern w:val="0"/>
          <w:position w:val="0"/>
          <w:sz w:val="32"/>
          <w:szCs w:val="32"/>
          <w:lang w:eastAsia="zh-CN"/>
        </w:rPr>
        <w:t>等县内文旅企业进行调研，</w:t>
      </w:r>
      <w:r>
        <w:rPr>
          <w:rFonts w:hint="eastAsia" w:ascii="仿宋_GB2312" w:hAnsi="仿宋_GB2312" w:eastAsia="仿宋_GB2312" w:cs="仿宋_GB2312"/>
          <w:b w:val="0"/>
          <w:snapToGrid w:val="0"/>
          <w:spacing w:val="0"/>
          <w:w w:val="100"/>
          <w:kern w:val="0"/>
          <w:position w:val="0"/>
          <w:sz w:val="32"/>
          <w:szCs w:val="32"/>
          <w:lang w:val="en-US" w:eastAsia="zh-CN"/>
        </w:rPr>
        <w:t>听取本地企业意见</w:t>
      </w:r>
      <w:r>
        <w:rPr>
          <w:rFonts w:hint="eastAsia" w:ascii="仿宋_GB2312" w:hAnsi="仿宋_GB2312" w:eastAsia="仿宋_GB2312" w:cs="仿宋_GB2312"/>
          <w:b w:val="0"/>
          <w:snapToGrid w:val="0"/>
          <w:spacing w:val="0"/>
          <w:w w:val="100"/>
          <w:kern w:val="0"/>
          <w:position w:val="0"/>
          <w:sz w:val="32"/>
          <w:szCs w:val="32"/>
          <w:lang w:eastAsia="zh-CN"/>
        </w:rPr>
        <w:t>；5月6日，前往市文广旅局征求领导及相关科室意见，借助市局领导和科室丰富的行业管理经验与专业知识，进一步完善起草内容。二是组织起草。在开展调研基础上，结合《赣州市人民政府办公室关于印发赣州市支持文旅产业发展若干措施的通知》（赣市府办字〔2025〕12号）、《赣州市人民政府办公室关于试行赣州市引客入赣奖励办法（试行）的通知》（赣市府办发〔2024〕14号）等文件精神，</w:t>
      </w:r>
      <w:r>
        <w:rPr>
          <w:rFonts w:hint="eastAsia" w:ascii="仿宋_GB2312" w:hAnsi="仿宋_GB2312" w:eastAsia="仿宋_GB2312" w:cs="仿宋_GB2312"/>
          <w:b w:val="0"/>
          <w:snapToGrid w:val="0"/>
          <w:spacing w:val="0"/>
          <w:w w:val="100"/>
          <w:kern w:val="0"/>
          <w:position w:val="0"/>
          <w:sz w:val="32"/>
          <w:szCs w:val="32"/>
          <w:lang w:val="en-US" w:eastAsia="zh-CN"/>
        </w:rPr>
        <w:t>参考龙南、安远等周边县市经验做法，</w:t>
      </w:r>
      <w:r>
        <w:rPr>
          <w:rFonts w:hint="eastAsia" w:ascii="仿宋_GB2312" w:hAnsi="仿宋_GB2312" w:eastAsia="仿宋_GB2312" w:cs="仿宋_GB2312"/>
          <w:b w:val="0"/>
          <w:snapToGrid w:val="0"/>
          <w:spacing w:val="0"/>
          <w:w w:val="100"/>
          <w:kern w:val="0"/>
          <w:position w:val="0"/>
          <w:sz w:val="32"/>
          <w:szCs w:val="32"/>
          <w:lang w:eastAsia="zh-CN"/>
        </w:rPr>
        <w:t>起草了《大余县文旅产业发展扶持措施（修订）（征求意见稿）</w:t>
      </w:r>
      <w:bookmarkStart w:id="0" w:name="_GoBack"/>
      <w:bookmarkEnd w:id="0"/>
      <w:r>
        <w:rPr>
          <w:rFonts w:hint="eastAsia" w:ascii="仿宋_GB2312" w:hAnsi="仿宋_GB2312" w:eastAsia="仿宋_GB2312" w:cs="仿宋_GB2312"/>
          <w:b w:val="0"/>
          <w:snapToGrid w:val="0"/>
          <w:spacing w:val="0"/>
          <w:w w:val="100"/>
          <w:kern w:val="0"/>
          <w:position w:val="0"/>
          <w:sz w:val="32"/>
          <w:szCs w:val="32"/>
          <w:lang w:eastAsia="zh-CN"/>
        </w:rPr>
        <w:t>》。三是征求意见。</w:t>
      </w:r>
      <w:r>
        <w:rPr>
          <w:rFonts w:hint="eastAsia" w:ascii="仿宋_GB2312" w:hAnsi="仿宋_GB2312" w:eastAsia="仿宋_GB2312" w:cs="仿宋_GB2312"/>
          <w:b w:val="0"/>
          <w:snapToGrid w:val="0"/>
          <w:spacing w:val="0"/>
          <w:w w:val="100"/>
          <w:kern w:val="0"/>
          <w:position w:val="0"/>
          <w:sz w:val="32"/>
          <w:szCs w:val="32"/>
          <w:lang w:val="en-US" w:eastAsia="zh-CN"/>
        </w:rPr>
        <w:t>分别于2025年5月15日、2025年6月13日向县委组织部、县委宣传部、县财政局、县发展改革委、县司法局、县行政审批局、县商务局、县市场监督管理局、县农业农村局、县公安局、县住房和城乡建设局、县卫生健康委、县消防救援局、县委党校、县融媒体中心、县城发集团（县旅投公司）</w:t>
      </w:r>
      <w:r>
        <w:rPr>
          <w:rFonts w:hint="eastAsia" w:ascii="仿宋_GB2312" w:hAnsi="仿宋_GB2312" w:eastAsia="仿宋_GB2312" w:cs="仿宋_GB2312"/>
          <w:b w:val="0"/>
          <w:snapToGrid w:val="0"/>
          <w:spacing w:val="0"/>
          <w:w w:val="100"/>
          <w:kern w:val="0"/>
          <w:position w:val="0"/>
          <w:sz w:val="32"/>
          <w:szCs w:val="32"/>
          <w:lang w:eastAsia="zh-CN"/>
        </w:rPr>
        <w:t>等相关单位和部门书面征求了意见。四是修改完善。根据各部门反馈的修改意见，对文稿进行了修改完善。</w:t>
      </w:r>
    </w:p>
    <w:p w14:paraId="53621D11">
      <w:pPr>
        <w:keepNext/>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1"/>
        <w:rPr>
          <w:rFonts w:hint="eastAsia" w:ascii="Times New Roman" w:hAnsi="黑体" w:eastAsia="黑体" w:cs="黑体"/>
          <w:b w:val="0"/>
          <w:snapToGrid w:val="0"/>
          <w:spacing w:val="0"/>
          <w:w w:val="100"/>
          <w:kern w:val="0"/>
          <w:position w:val="0"/>
          <w:sz w:val="32"/>
          <w:szCs w:val="32"/>
        </w:rPr>
      </w:pPr>
      <w:r>
        <w:rPr>
          <w:rFonts w:hint="eastAsia" w:ascii="Times New Roman" w:hAnsi="黑体" w:eastAsia="黑体" w:cs="黑体"/>
          <w:b w:val="0"/>
          <w:snapToGrid w:val="0"/>
          <w:spacing w:val="0"/>
          <w:w w:val="100"/>
          <w:kern w:val="0"/>
          <w:position w:val="0"/>
          <w:sz w:val="32"/>
          <w:szCs w:val="32"/>
        </w:rPr>
        <w:t>二、主要内容</w:t>
      </w:r>
    </w:p>
    <w:p w14:paraId="2AF3334D">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snapToGrid w:val="0"/>
          <w:color w:val="auto"/>
          <w:spacing w:val="0"/>
          <w:w w:val="100"/>
          <w:kern w:val="0"/>
          <w:position w:val="0"/>
          <w:sz w:val="32"/>
          <w:szCs w:val="32"/>
          <w:lang w:val="en-US" w:eastAsia="zh-CN"/>
        </w:rPr>
      </w:pPr>
      <w:r>
        <w:rPr>
          <w:rFonts w:hint="eastAsia" w:ascii="仿宋_GB2312" w:hAnsi="仿宋_GB2312" w:eastAsia="仿宋_GB2312" w:cs="仿宋_GB2312"/>
          <w:b w:val="0"/>
          <w:snapToGrid w:val="0"/>
          <w:color w:val="auto"/>
          <w:spacing w:val="0"/>
          <w:w w:val="100"/>
          <w:kern w:val="0"/>
          <w:position w:val="0"/>
          <w:sz w:val="32"/>
          <w:szCs w:val="32"/>
          <w:lang w:val="en-US" w:eastAsia="zh-CN"/>
        </w:rPr>
        <w:t>《大余县文旅产业发展扶持措施（修订）（送审稿）》涵盖九大板块：第一条，总则。明确措施管理机制。第二条，支持旅游品牌创建。对新创评的相关旅游品牌的景区（点），予以一次性奖励，新晋升更高等级品牌的，按高等级奖补标准扣除之前等级奖补后予以奖补；已享受招商引资政策、文旅产业扶持措施的项目不再享受该项奖补。在上级</w:t>
      </w:r>
      <w:r>
        <w:rPr>
          <w:rFonts w:hint="eastAsia" w:ascii="仿宋_GB2312" w:hAnsi="仿宋_GB2312" w:eastAsia="仿宋_GB2312" w:cs="仿宋_GB2312"/>
          <w:b w:val="0"/>
          <w:snapToGrid w:val="0"/>
          <w:color w:val="auto"/>
          <w:spacing w:val="0"/>
          <w:w w:val="100"/>
          <w:kern w:val="0"/>
          <w:position w:val="0"/>
          <w:sz w:val="32"/>
          <w:szCs w:val="32"/>
          <w:lang w:val="en-US" w:eastAsia="zh"/>
        </w:rPr>
        <w:t>文旅</w:t>
      </w:r>
      <w:r>
        <w:rPr>
          <w:rFonts w:hint="eastAsia" w:ascii="仿宋_GB2312" w:hAnsi="仿宋_GB2312" w:eastAsia="仿宋_GB2312" w:cs="仿宋_GB2312"/>
          <w:b w:val="0"/>
          <w:snapToGrid w:val="0"/>
          <w:color w:val="auto"/>
          <w:spacing w:val="0"/>
          <w:w w:val="100"/>
          <w:kern w:val="0"/>
          <w:position w:val="0"/>
          <w:sz w:val="32"/>
          <w:szCs w:val="32"/>
          <w:lang w:val="en-US" w:eastAsia="zh-CN"/>
        </w:rPr>
        <w:t>部门品牌质量评定机构组织开展的暗访、复核等评价中，若出现服务质量下降、设施老化等影响品牌形象的问题，将采取预警提示、暂停或收回部分奖励资金等措施。第三条，支持旅游要素</w:t>
      </w:r>
      <w:r>
        <w:rPr>
          <w:rFonts w:hint="eastAsia" w:ascii="仿宋_GB2312" w:hAnsi="仿宋_GB2312" w:eastAsia="仿宋_GB2312" w:cs="仿宋_GB2312"/>
          <w:b w:val="0"/>
          <w:snapToGrid w:val="0"/>
          <w:color w:val="auto"/>
          <w:spacing w:val="0"/>
          <w:w w:val="100"/>
          <w:kern w:val="0"/>
          <w:position w:val="0"/>
          <w:sz w:val="32"/>
          <w:szCs w:val="32"/>
          <w:lang w:val="en-US" w:eastAsia="zh"/>
        </w:rPr>
        <w:t>发展</w:t>
      </w:r>
      <w:r>
        <w:rPr>
          <w:rFonts w:hint="eastAsia" w:ascii="仿宋_GB2312" w:hAnsi="仿宋_GB2312" w:eastAsia="仿宋_GB2312" w:cs="仿宋_GB2312"/>
          <w:b w:val="0"/>
          <w:snapToGrid w:val="0"/>
          <w:color w:val="auto"/>
          <w:spacing w:val="0"/>
          <w:w w:val="100"/>
          <w:kern w:val="0"/>
          <w:position w:val="0"/>
          <w:sz w:val="32"/>
          <w:szCs w:val="32"/>
          <w:lang w:val="en-US" w:eastAsia="zh-CN"/>
        </w:rPr>
        <w:t>。对于新评定的旅游饭店、旅游民宿、旅行社、特色宴席以及文创产品予以奖补。第四条，支持文旅人才</w:t>
      </w:r>
      <w:r>
        <w:rPr>
          <w:rFonts w:hint="eastAsia" w:ascii="仿宋_GB2312" w:hAnsi="仿宋_GB2312" w:eastAsia="仿宋_GB2312" w:cs="仿宋_GB2312"/>
          <w:b w:val="0"/>
          <w:snapToGrid w:val="0"/>
          <w:color w:val="auto"/>
          <w:spacing w:val="0"/>
          <w:w w:val="100"/>
          <w:kern w:val="0"/>
          <w:position w:val="0"/>
          <w:sz w:val="32"/>
          <w:szCs w:val="32"/>
          <w:lang w:val="en-US" w:eastAsia="zh"/>
        </w:rPr>
        <w:t>队伍建设</w:t>
      </w:r>
      <w:r>
        <w:rPr>
          <w:rFonts w:hint="eastAsia" w:ascii="仿宋_GB2312" w:hAnsi="仿宋_GB2312" w:eastAsia="仿宋_GB2312" w:cs="仿宋_GB2312"/>
          <w:b w:val="0"/>
          <w:snapToGrid w:val="0"/>
          <w:color w:val="auto"/>
          <w:spacing w:val="0"/>
          <w:w w:val="100"/>
          <w:kern w:val="0"/>
          <w:position w:val="0"/>
          <w:sz w:val="32"/>
          <w:szCs w:val="32"/>
          <w:lang w:val="en-US" w:eastAsia="zh-CN"/>
        </w:rPr>
        <w:t>。高层次人才享受本县优惠政策；国家级旅游技能大赛优秀选手奖2万元；新考取高/中级导游证可获奖励。第五条，支持文旅市场营销。主要对新媒体</w:t>
      </w:r>
      <w:r>
        <w:rPr>
          <w:rFonts w:hint="eastAsia" w:ascii="仿宋_GB2312" w:hAnsi="仿宋_GB2312" w:eastAsia="仿宋_GB2312" w:cs="仿宋_GB2312"/>
          <w:b w:val="0"/>
          <w:snapToGrid w:val="0"/>
          <w:color w:val="auto"/>
          <w:spacing w:val="0"/>
          <w:w w:val="100"/>
          <w:kern w:val="0"/>
          <w:position w:val="0"/>
          <w:sz w:val="32"/>
          <w:szCs w:val="32"/>
          <w:lang w:val="en-US" w:eastAsia="zh"/>
        </w:rPr>
        <w:t>发展</w:t>
      </w:r>
      <w:r>
        <w:rPr>
          <w:rFonts w:hint="eastAsia" w:ascii="仿宋_GB2312" w:hAnsi="仿宋_GB2312" w:eastAsia="仿宋_GB2312" w:cs="仿宋_GB2312"/>
          <w:b w:val="0"/>
          <w:snapToGrid w:val="0"/>
          <w:color w:val="auto"/>
          <w:spacing w:val="0"/>
          <w:w w:val="100"/>
          <w:kern w:val="0"/>
          <w:position w:val="0"/>
          <w:sz w:val="32"/>
          <w:szCs w:val="32"/>
          <w:lang w:val="en-US" w:eastAsia="zh-CN"/>
        </w:rPr>
        <w:t>、活动推广进行奖补。第六条，</w:t>
      </w:r>
      <w:r>
        <w:rPr>
          <w:rFonts w:hint="eastAsia" w:ascii="仿宋_GB2312" w:hAnsi="仿宋_GB2312" w:eastAsia="仿宋_GB2312" w:cs="仿宋_GB2312"/>
          <w:b w:val="0"/>
          <w:snapToGrid w:val="0"/>
          <w:color w:val="auto"/>
          <w:spacing w:val="0"/>
          <w:w w:val="100"/>
          <w:kern w:val="0"/>
          <w:position w:val="0"/>
          <w:sz w:val="32"/>
          <w:szCs w:val="32"/>
          <w:lang w:val="en-US" w:eastAsia="zh"/>
        </w:rPr>
        <w:t>支持</w:t>
      </w:r>
      <w:r>
        <w:rPr>
          <w:rFonts w:hint="eastAsia" w:ascii="仿宋_GB2312" w:hAnsi="仿宋_GB2312" w:eastAsia="仿宋_GB2312" w:cs="仿宋_GB2312"/>
          <w:b w:val="0"/>
          <w:snapToGrid w:val="0"/>
          <w:color w:val="auto"/>
          <w:spacing w:val="0"/>
          <w:w w:val="100"/>
          <w:kern w:val="0"/>
          <w:position w:val="0"/>
          <w:sz w:val="32"/>
          <w:szCs w:val="32"/>
          <w:lang w:val="en-US" w:eastAsia="zh-CN"/>
        </w:rPr>
        <w:t>“引客入余”奖励扶持。主要对一日游团队、过夜游团队、</w:t>
      </w:r>
      <w:r>
        <w:rPr>
          <w:rFonts w:hint="eastAsia" w:ascii="仿宋_GB2312" w:hAnsi="仿宋_GB2312" w:eastAsia="仿宋_GB2312" w:cs="仿宋_GB2312"/>
          <w:b w:val="0"/>
          <w:snapToGrid w:val="0"/>
          <w:color w:val="auto"/>
          <w:spacing w:val="0"/>
          <w:w w:val="100"/>
          <w:kern w:val="0"/>
          <w:position w:val="0"/>
          <w:sz w:val="32"/>
          <w:szCs w:val="32"/>
          <w:lang w:val="en-US" w:eastAsia="zh"/>
        </w:rPr>
        <w:t>火车</w:t>
      </w:r>
      <w:r>
        <w:rPr>
          <w:rFonts w:hint="eastAsia" w:ascii="仿宋_GB2312" w:hAnsi="仿宋_GB2312" w:eastAsia="仿宋_GB2312" w:cs="仿宋_GB2312"/>
          <w:b w:val="0"/>
          <w:snapToGrid w:val="0"/>
          <w:color w:val="auto"/>
          <w:spacing w:val="0"/>
          <w:w w:val="100"/>
          <w:kern w:val="0"/>
          <w:position w:val="0"/>
          <w:sz w:val="32"/>
          <w:szCs w:val="32"/>
          <w:lang w:val="en-US" w:eastAsia="zh-CN"/>
        </w:rPr>
        <w:t>游、自驾游、入境游团队、</w:t>
      </w:r>
      <w:r>
        <w:rPr>
          <w:rFonts w:hint="eastAsia" w:ascii="仿宋_GB2312" w:hAnsi="仿宋_GB2312" w:eastAsia="仿宋_GB2312" w:cs="仿宋_GB2312"/>
          <w:b w:val="0"/>
          <w:snapToGrid w:val="0"/>
          <w:color w:val="auto"/>
          <w:spacing w:val="0"/>
          <w:w w:val="100"/>
          <w:kern w:val="0"/>
          <w:position w:val="0"/>
          <w:sz w:val="32"/>
          <w:szCs w:val="32"/>
          <w:lang w:val="en-US" w:eastAsia="zh"/>
        </w:rPr>
        <w:t>红培、研学</w:t>
      </w:r>
      <w:r>
        <w:rPr>
          <w:rFonts w:hint="eastAsia" w:ascii="仿宋_GB2312" w:hAnsi="仿宋_GB2312" w:eastAsia="仿宋_GB2312" w:cs="仿宋_GB2312"/>
          <w:b w:val="0"/>
          <w:snapToGrid w:val="0"/>
          <w:color w:val="auto"/>
          <w:spacing w:val="0"/>
          <w:w w:val="100"/>
          <w:kern w:val="0"/>
          <w:position w:val="0"/>
          <w:sz w:val="32"/>
          <w:szCs w:val="32"/>
          <w:lang w:val="en-US" w:eastAsia="zh-CN"/>
        </w:rPr>
        <w:t>等方面进行奖补。第七条，资金来源。扶持奖励资金从上级（奖补）资金和县旅游发展专项资金统筹安排，总量控制原则。第八条，申报程序。主要是对申报程序进行了明确。第九条，附则。主要是对一些未尽事宜进行明确。</w:t>
      </w:r>
    </w:p>
    <w:p w14:paraId="1DCE6F99">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Times New Roman" w:hAnsi="黑体" w:eastAsia="黑体" w:cs="黑体"/>
          <w:b w:val="0"/>
          <w:snapToGrid w:val="0"/>
          <w:spacing w:val="0"/>
          <w:w w:val="100"/>
          <w:kern w:val="0"/>
          <w:position w:val="0"/>
          <w:sz w:val="32"/>
          <w:szCs w:val="32"/>
          <w:lang w:val="en-US" w:eastAsia="zh-CN"/>
        </w:rPr>
      </w:pPr>
      <w:r>
        <w:rPr>
          <w:rFonts w:hint="eastAsia" w:ascii="Times New Roman" w:hAnsi="黑体" w:eastAsia="黑体" w:cs="黑体"/>
          <w:b w:val="0"/>
          <w:snapToGrid w:val="0"/>
          <w:spacing w:val="0"/>
          <w:w w:val="100"/>
          <w:kern w:val="0"/>
          <w:position w:val="0"/>
          <w:sz w:val="32"/>
          <w:szCs w:val="32"/>
          <w:lang w:val="en-US" w:eastAsia="zh-CN"/>
        </w:rPr>
        <w:t>三、征求意见情况</w:t>
      </w:r>
    </w:p>
    <w:p w14:paraId="6F584615">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snapToGrid w:val="0"/>
          <w:color w:val="auto"/>
          <w:spacing w:val="0"/>
          <w:w w:val="100"/>
          <w:kern w:val="0"/>
          <w:position w:val="0"/>
          <w:sz w:val="32"/>
          <w:szCs w:val="32"/>
          <w:lang w:val="en-US" w:eastAsia="zh-CN"/>
        </w:rPr>
      </w:pPr>
      <w:r>
        <w:rPr>
          <w:rFonts w:hint="eastAsia" w:ascii="仿宋_GB2312" w:hAnsi="仿宋_GB2312" w:eastAsia="仿宋_GB2312" w:cs="仿宋_GB2312"/>
          <w:b w:val="0"/>
          <w:snapToGrid w:val="0"/>
          <w:color w:val="auto"/>
          <w:spacing w:val="0"/>
          <w:w w:val="100"/>
          <w:kern w:val="0"/>
          <w:position w:val="0"/>
          <w:sz w:val="32"/>
          <w:szCs w:val="32"/>
          <w:lang w:val="en-US" w:eastAsia="zh-CN" w:bidi="ar"/>
        </w:rPr>
        <w:t>为确保《措施》更加符合我县实际情况，更具可操作性，</w:t>
      </w:r>
      <w:r>
        <w:rPr>
          <w:rFonts w:hint="eastAsia" w:ascii="仿宋_GB2312" w:hAnsi="仿宋_GB2312" w:eastAsia="仿宋_GB2312" w:cs="仿宋_GB2312"/>
          <w:b w:val="0"/>
          <w:snapToGrid w:val="0"/>
          <w:color w:val="auto"/>
          <w:spacing w:val="0"/>
          <w:w w:val="100"/>
          <w:kern w:val="0"/>
          <w:position w:val="0"/>
          <w:sz w:val="32"/>
          <w:szCs w:val="32"/>
          <w:lang w:val="en-US" w:eastAsia="zh-CN"/>
        </w:rPr>
        <w:t>5月15日，县文广旅局通</w:t>
      </w:r>
      <w:r>
        <w:rPr>
          <w:rFonts w:hint="eastAsia" w:ascii="仿宋_GB2312" w:hAnsi="仿宋_GB2312" w:eastAsia="仿宋_GB2312" w:cs="仿宋_GB2312"/>
          <w:b w:val="0"/>
          <w:snapToGrid w:val="0"/>
          <w:color w:val="auto"/>
          <w:spacing w:val="0"/>
          <w:w w:val="100"/>
          <w:kern w:val="0"/>
          <w:position w:val="0"/>
          <w:sz w:val="32"/>
          <w:szCs w:val="32"/>
          <w:lang w:val="en-US" w:eastAsia="zh-CN" w:bidi="ar"/>
        </w:rPr>
        <w:t>过OA发函至相关单位，共</w:t>
      </w:r>
      <w:r>
        <w:rPr>
          <w:rFonts w:hint="eastAsia" w:ascii="仿宋_GB2312" w:hAnsi="仿宋_GB2312" w:eastAsia="仿宋_GB2312" w:cs="仿宋_GB2312"/>
          <w:b w:val="0"/>
          <w:snapToGrid w:val="0"/>
          <w:color w:val="auto"/>
          <w:spacing w:val="0"/>
          <w:w w:val="100"/>
          <w:kern w:val="0"/>
          <w:position w:val="0"/>
          <w:sz w:val="32"/>
          <w:szCs w:val="32"/>
          <w:lang w:val="en-US" w:eastAsia="zh-CN"/>
        </w:rPr>
        <w:t>16个</w:t>
      </w:r>
      <w:r>
        <w:rPr>
          <w:rFonts w:hint="eastAsia" w:ascii="仿宋_GB2312" w:hAnsi="仿宋_GB2312" w:eastAsia="仿宋_GB2312" w:cs="仿宋_GB2312"/>
          <w:b w:val="0"/>
          <w:snapToGrid w:val="0"/>
          <w:color w:val="auto"/>
          <w:spacing w:val="0"/>
          <w:w w:val="100"/>
          <w:kern w:val="0"/>
          <w:position w:val="0"/>
          <w:sz w:val="32"/>
          <w:szCs w:val="32"/>
          <w:lang w:eastAsia="zh-CN"/>
        </w:rPr>
        <w:t>有关单位</w:t>
      </w:r>
      <w:r>
        <w:rPr>
          <w:rFonts w:hint="eastAsia" w:ascii="仿宋_GB2312" w:hAnsi="仿宋_GB2312" w:eastAsia="仿宋_GB2312" w:cs="仿宋_GB2312"/>
          <w:b w:val="0"/>
          <w:snapToGrid w:val="0"/>
          <w:color w:val="auto"/>
          <w:spacing w:val="0"/>
          <w:w w:val="100"/>
          <w:kern w:val="0"/>
          <w:position w:val="0"/>
          <w:sz w:val="32"/>
          <w:szCs w:val="32"/>
          <w:lang w:val="en-US" w:eastAsia="zh-CN"/>
        </w:rPr>
        <w:t>征求</w:t>
      </w:r>
      <w:r>
        <w:rPr>
          <w:rFonts w:hint="eastAsia" w:ascii="仿宋_GB2312" w:hAnsi="仿宋_GB2312" w:eastAsia="仿宋_GB2312" w:cs="仿宋_GB2312"/>
          <w:b w:val="0"/>
          <w:snapToGrid w:val="0"/>
          <w:color w:val="auto"/>
          <w:spacing w:val="0"/>
          <w:w w:val="100"/>
          <w:kern w:val="0"/>
          <w:position w:val="0"/>
          <w:sz w:val="32"/>
          <w:szCs w:val="32"/>
        </w:rPr>
        <w:t>意见</w:t>
      </w:r>
      <w:r>
        <w:rPr>
          <w:rFonts w:hint="eastAsia" w:ascii="仿宋_GB2312" w:hAnsi="仿宋_GB2312" w:eastAsia="仿宋_GB2312" w:cs="仿宋_GB2312"/>
          <w:b w:val="0"/>
          <w:snapToGrid w:val="0"/>
          <w:color w:val="auto"/>
          <w:spacing w:val="0"/>
          <w:w w:val="100"/>
          <w:kern w:val="0"/>
          <w:position w:val="0"/>
          <w:sz w:val="32"/>
          <w:szCs w:val="32"/>
          <w:lang w:eastAsia="zh-CN"/>
        </w:rPr>
        <w:t>，</w:t>
      </w:r>
      <w:r>
        <w:rPr>
          <w:rFonts w:hint="eastAsia" w:ascii="仿宋_GB2312" w:hAnsi="仿宋_GB2312" w:eastAsia="仿宋_GB2312" w:cs="仿宋_GB2312"/>
          <w:b w:val="0"/>
          <w:snapToGrid w:val="0"/>
          <w:color w:val="auto"/>
          <w:spacing w:val="0"/>
          <w:w w:val="100"/>
          <w:kern w:val="0"/>
          <w:position w:val="0"/>
          <w:sz w:val="32"/>
          <w:szCs w:val="32"/>
          <w:lang w:val="en-US" w:eastAsia="zh-CN"/>
        </w:rPr>
        <w:t>6月13日，县文广旅局再次通过</w:t>
      </w:r>
      <w:r>
        <w:rPr>
          <w:rFonts w:hint="eastAsia" w:ascii="仿宋_GB2312" w:hAnsi="仿宋_GB2312" w:eastAsia="仿宋_GB2312" w:cs="仿宋_GB2312"/>
          <w:b w:val="0"/>
          <w:snapToGrid w:val="0"/>
          <w:color w:val="auto"/>
          <w:spacing w:val="0"/>
          <w:w w:val="100"/>
          <w:kern w:val="0"/>
          <w:position w:val="0"/>
          <w:sz w:val="32"/>
          <w:szCs w:val="32"/>
          <w:lang w:val="en-US" w:eastAsia="zh-CN" w:bidi="ar"/>
        </w:rPr>
        <w:t>OA发函至相关单位，共12个有关单位征求意见，8个单位无意见，4个单位提出修改意见10</w:t>
      </w:r>
      <w:r>
        <w:rPr>
          <w:rFonts w:hint="eastAsia" w:ascii="仿宋_GB2312" w:hAnsi="仿宋_GB2312" w:eastAsia="仿宋_GB2312" w:cs="仿宋_GB2312"/>
          <w:b w:val="0"/>
          <w:snapToGrid w:val="0"/>
          <w:color w:val="auto"/>
          <w:spacing w:val="0"/>
          <w:w w:val="100"/>
          <w:kern w:val="0"/>
          <w:position w:val="0"/>
          <w:sz w:val="32"/>
          <w:szCs w:val="32"/>
        </w:rPr>
        <w:t>条</w:t>
      </w:r>
      <w:r>
        <w:rPr>
          <w:rFonts w:hint="eastAsia" w:ascii="仿宋_GB2312" w:hAnsi="仿宋_GB2312" w:eastAsia="仿宋_GB2312" w:cs="仿宋_GB2312"/>
          <w:b w:val="0"/>
          <w:snapToGrid w:val="0"/>
          <w:color w:val="auto"/>
          <w:spacing w:val="0"/>
          <w:w w:val="100"/>
          <w:kern w:val="0"/>
          <w:position w:val="0"/>
          <w:sz w:val="32"/>
          <w:szCs w:val="32"/>
          <w:lang w:val="en-US" w:eastAsia="zh-CN" w:bidi="ar"/>
        </w:rPr>
        <w:t>，采纳</w:t>
      </w:r>
      <w:r>
        <w:rPr>
          <w:rFonts w:hint="eastAsia" w:ascii="仿宋_GB2312" w:hAnsi="仿宋_GB2312" w:eastAsia="仿宋_GB2312" w:cs="仿宋_GB2312"/>
          <w:b w:val="0"/>
          <w:snapToGrid w:val="0"/>
          <w:color w:val="auto"/>
          <w:spacing w:val="0"/>
          <w:w w:val="100"/>
          <w:kern w:val="0"/>
          <w:position w:val="0"/>
          <w:sz w:val="32"/>
          <w:szCs w:val="32"/>
          <w:lang w:val="en-US" w:eastAsia="zh-CN"/>
        </w:rPr>
        <w:t>8</w:t>
      </w:r>
      <w:r>
        <w:rPr>
          <w:rFonts w:hint="eastAsia" w:ascii="仿宋_GB2312" w:hAnsi="仿宋_GB2312" w:eastAsia="仿宋_GB2312" w:cs="仿宋_GB2312"/>
          <w:b w:val="0"/>
          <w:snapToGrid w:val="0"/>
          <w:color w:val="auto"/>
          <w:spacing w:val="0"/>
          <w:w w:val="100"/>
          <w:kern w:val="0"/>
          <w:position w:val="0"/>
          <w:sz w:val="32"/>
          <w:szCs w:val="32"/>
        </w:rPr>
        <w:t>条</w:t>
      </w:r>
      <w:r>
        <w:rPr>
          <w:rFonts w:hint="eastAsia" w:ascii="仿宋_GB2312" w:hAnsi="仿宋_GB2312" w:eastAsia="仿宋_GB2312" w:cs="仿宋_GB2312"/>
          <w:b w:val="0"/>
          <w:snapToGrid w:val="0"/>
          <w:color w:val="auto"/>
          <w:spacing w:val="0"/>
          <w:w w:val="100"/>
          <w:kern w:val="0"/>
          <w:position w:val="0"/>
          <w:sz w:val="32"/>
          <w:szCs w:val="32"/>
          <w:lang w:val="en-US" w:eastAsia="zh-CN" w:bidi="ar"/>
        </w:rPr>
        <w:t>修改意见。</w:t>
      </w:r>
    </w:p>
    <w:p w14:paraId="4ED7086E">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2"/>
        <w:rPr>
          <w:rFonts w:hint="eastAsia" w:ascii="Times New Roman" w:hAnsi="仿宋_GB2312" w:eastAsia="仿宋_GB2312" w:cs="仿宋_GB2312"/>
          <w:b w:val="0"/>
          <w:snapToGrid w:val="0"/>
          <w:spacing w:val="0"/>
          <w:w w:val="100"/>
          <w:kern w:val="0"/>
          <w:position w:val="0"/>
          <w:sz w:val="32"/>
          <w:szCs w:val="32"/>
          <w:lang w:val="en-US" w:eastAsia="zh-CN"/>
        </w:rPr>
      </w:pPr>
    </w:p>
    <w:sectPr>
      <w:headerReference r:id="rId4" w:type="first"/>
      <w:footerReference r:id="rId7" w:type="first"/>
      <w:footerReference r:id="rId5" w:type="default"/>
      <w:headerReference r:id="rId3" w:type="even"/>
      <w:footerReference r:id="rId6" w:type="even"/>
      <w:pgSz w:w="11906" w:h="16838"/>
      <w:pgMar w:top="2098" w:right="1474" w:bottom="1984" w:left="1588" w:header="1134" w:footer="1701" w:gutter="0"/>
      <w:pgNumType w:fmt="decimal"/>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66C493">
    <w:pPr>
      <w:pStyle w:val="4"/>
      <w:ind w:left="280" w:leftChars="0" w:right="280" w:rightChars="0" w:firstLine="0" w:firstLineChars="0"/>
      <w:jc w:val="center"/>
      <w:rPr>
        <w:rFonts w:hint="eastAsia" w:ascii="宋体" w:hAnsi="宋体" w:eastAsia="宋体" w:cs="宋体"/>
        <w:sz w:val="28"/>
        <w:lang w:eastAsia="zh-CN"/>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BB2F42">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1BB2F42">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BAC48">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FA91DB">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EB8F9E">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404C72">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961290"/>
    <w:rsid w:val="032015EE"/>
    <w:rsid w:val="041F52DA"/>
    <w:rsid w:val="10D37E53"/>
    <w:rsid w:val="15434B4C"/>
    <w:rsid w:val="16881F81"/>
    <w:rsid w:val="1BA942F2"/>
    <w:rsid w:val="1C174BB1"/>
    <w:rsid w:val="1E7E3A46"/>
    <w:rsid w:val="24434176"/>
    <w:rsid w:val="278A6B27"/>
    <w:rsid w:val="27A927BE"/>
    <w:rsid w:val="28633711"/>
    <w:rsid w:val="29083DBD"/>
    <w:rsid w:val="2F546A4D"/>
    <w:rsid w:val="31B56FD1"/>
    <w:rsid w:val="34C226AB"/>
    <w:rsid w:val="383E6263"/>
    <w:rsid w:val="39A03983"/>
    <w:rsid w:val="3A041CCE"/>
    <w:rsid w:val="3A814FE3"/>
    <w:rsid w:val="3B984165"/>
    <w:rsid w:val="3BDF3B42"/>
    <w:rsid w:val="3D961290"/>
    <w:rsid w:val="46327561"/>
    <w:rsid w:val="564E3947"/>
    <w:rsid w:val="5C500A2C"/>
    <w:rsid w:val="5C95407D"/>
    <w:rsid w:val="5E9108E9"/>
    <w:rsid w:val="5FCD1D80"/>
    <w:rsid w:val="60461456"/>
    <w:rsid w:val="64B965E8"/>
    <w:rsid w:val="6EA77C40"/>
    <w:rsid w:val="70311EB7"/>
    <w:rsid w:val="71343248"/>
    <w:rsid w:val="719E2E4D"/>
    <w:rsid w:val="75EA6029"/>
    <w:rsid w:val="7E480F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rPr>
      <w:rFonts w:ascii="Calibri" w:hAnsi="Calibri" w:eastAsia="仿宋"/>
      <w:sz w:val="32"/>
    </w:rPr>
  </w:style>
  <w:style w:type="paragraph" w:styleId="3">
    <w:name w:val="Body Text Indent"/>
    <w:basedOn w:val="2"/>
    <w:next w:val="2"/>
    <w:unhideWhenUsed/>
    <w:qFormat/>
    <w:uiPriority w:val="99"/>
    <w:pPr>
      <w:spacing w:after="120"/>
      <w:ind w:left="420" w:leftChars="200"/>
    </w:pPr>
    <w:rPr>
      <w:rFonts w:eastAsia="宋体" w:cs="Times New Roman"/>
      <w:sz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BodyText1I"/>
    <w:basedOn w:val="9"/>
    <w:qFormat/>
    <w:uiPriority w:val="0"/>
    <w:pPr>
      <w:spacing w:after="120"/>
      <w:ind w:firstLine="420" w:firstLineChars="100"/>
      <w:jc w:val="both"/>
      <w:textAlignment w:val="baseline"/>
    </w:pPr>
  </w:style>
  <w:style w:type="paragraph" w:customStyle="1" w:styleId="9">
    <w:name w:val="BodyText"/>
    <w:basedOn w:val="1"/>
    <w:qFormat/>
    <w:uiPriority w:val="0"/>
    <w:pPr>
      <w:spacing w:after="120"/>
      <w:jc w:val="both"/>
      <w:textAlignment w:val="baseline"/>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1447</Words>
  <Characters>1481</Characters>
  <Lines>0</Lines>
  <Paragraphs>0</Paragraphs>
  <TotalTime>0</TotalTime>
  <ScaleCrop>false</ScaleCrop>
  <LinksUpToDate>false</LinksUpToDate>
  <CharactersWithSpaces>1481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2025-06-09T04:15:00Z</dcterms:created>
  <dc:creator>白居不易</dc:creator>
  <cp:lastModifiedBy>Administrator</cp:lastModifiedBy>
  <dcterms:modified xsi:type="dcterms:W3CDTF">2025-08-07T11:22:40Z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36FC4C619C464C36A5DD97531F330B60_11</vt:lpwstr>
  </property>
  <property fmtid="{D5CDD505-2E9C-101B-9397-08002B2CF9AE}" pid="4" name="KSOTemplateDocerSaveRecord">
    <vt:lpwstr>eyJoZGlkIjoiODM1ZjE5OGU5ZmNiMzRkMDIzMjk2Zjc4YTE5ZGZlZmIifQ==</vt:lpwstr>
  </property>
</Properties>
</file>