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C96A62">
      <w:pPr>
        <w:keepNext w:val="0"/>
        <w:keepLines w:val="0"/>
        <w:pageBreakBefore w:val="0"/>
        <w:widowControl w:val="0"/>
        <w:kinsoku/>
        <w:wordWrap/>
        <w:overflowPunct/>
        <w:topLinePunct w:val="0"/>
        <w:autoSpaceDE/>
        <w:autoSpaceDN/>
        <w:bidi w:val="0"/>
        <w:adjustRightInd/>
        <w:snapToGrid/>
        <w:spacing w:line="480" w:lineRule="atLeast"/>
        <w:jc w:val="center"/>
        <w:textAlignment w:val="auto"/>
        <w:rPr>
          <w:rFonts w:hint="eastAsia" w:ascii="仿宋" w:hAnsi="仿宋" w:eastAsia="仿宋" w:cs="仿宋"/>
          <w:b/>
          <w:bCs/>
          <w:sz w:val="44"/>
          <w:szCs w:val="44"/>
        </w:rPr>
      </w:pPr>
      <w:r>
        <w:rPr>
          <w:rFonts w:hint="eastAsia" w:ascii="仿宋" w:hAnsi="仿宋" w:eastAsia="仿宋" w:cs="仿宋"/>
          <w:b/>
          <w:bCs/>
          <w:sz w:val="44"/>
          <w:szCs w:val="44"/>
          <w:lang w:eastAsia="zh-CN"/>
        </w:rPr>
        <w:t>《</w:t>
      </w:r>
      <w:r>
        <w:rPr>
          <w:rFonts w:hint="eastAsia" w:ascii="仿宋" w:hAnsi="仿宋" w:eastAsia="仿宋" w:cs="仿宋"/>
          <w:b/>
          <w:bCs/>
          <w:sz w:val="44"/>
          <w:szCs w:val="44"/>
        </w:rPr>
        <w:t>大余县中央财政油茶产业发展示范奖补</w:t>
      </w:r>
    </w:p>
    <w:p w14:paraId="6F8AE0A1">
      <w:pPr>
        <w:keepNext w:val="0"/>
        <w:keepLines w:val="0"/>
        <w:pageBreakBefore w:val="0"/>
        <w:widowControl w:val="0"/>
        <w:kinsoku/>
        <w:wordWrap/>
        <w:overflowPunct/>
        <w:topLinePunct w:val="0"/>
        <w:autoSpaceDE/>
        <w:autoSpaceDN/>
        <w:bidi w:val="0"/>
        <w:adjustRightInd/>
        <w:snapToGrid/>
        <w:spacing w:line="480" w:lineRule="atLeast"/>
        <w:jc w:val="center"/>
        <w:textAlignment w:val="auto"/>
        <w:rPr>
          <w:rFonts w:hint="eastAsia" w:ascii="仿宋" w:hAnsi="仿宋" w:eastAsia="仿宋" w:cs="仿宋"/>
          <w:b/>
          <w:bCs/>
          <w:sz w:val="44"/>
          <w:szCs w:val="44"/>
        </w:rPr>
      </w:pPr>
      <w:r>
        <w:rPr>
          <w:rFonts w:hint="eastAsia" w:ascii="仿宋" w:hAnsi="仿宋" w:eastAsia="仿宋" w:cs="仿宋"/>
          <w:b/>
          <w:bCs/>
          <w:sz w:val="44"/>
          <w:szCs w:val="44"/>
        </w:rPr>
        <w:t>项目实施方案</w:t>
      </w:r>
      <w:r>
        <w:rPr>
          <w:rFonts w:hint="eastAsia" w:ascii="仿宋" w:hAnsi="仿宋" w:eastAsia="仿宋" w:cs="仿宋"/>
          <w:b/>
          <w:bCs/>
          <w:sz w:val="44"/>
          <w:szCs w:val="44"/>
          <w:lang w:val="en-US" w:eastAsia="zh-CN"/>
        </w:rPr>
        <w:t>(征求意见稿）》</w:t>
      </w:r>
      <w:r>
        <w:rPr>
          <w:rFonts w:hint="eastAsia" w:ascii="仿宋" w:hAnsi="仿宋" w:eastAsia="仿宋" w:cs="仿宋"/>
          <w:b/>
          <w:bCs/>
          <w:sz w:val="44"/>
          <w:szCs w:val="44"/>
        </w:rPr>
        <w:t>起草说明</w:t>
      </w:r>
    </w:p>
    <w:p w14:paraId="0B57BD48">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jc w:val="left"/>
        <w:textAlignment w:val="auto"/>
        <w:rPr>
          <w:rFonts w:hint="eastAsia" w:ascii="仿宋" w:hAnsi="仿宋" w:eastAsia="仿宋" w:cs="仿宋"/>
          <w:i w:val="0"/>
          <w:caps w:val="0"/>
          <w:color w:val="000000"/>
          <w:spacing w:val="0"/>
          <w:sz w:val="32"/>
          <w:szCs w:val="32"/>
          <w:shd w:val="clear" w:color="auto" w:fill="FFFFFF"/>
          <w:lang w:val="en-US" w:eastAsia="zh-CN"/>
        </w:rPr>
      </w:pPr>
    </w:p>
    <w:p w14:paraId="3C3B98A5">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jc w:val="left"/>
        <w:textAlignment w:val="auto"/>
        <w:rPr>
          <w:rFonts w:hint="eastAsia" w:ascii="仿宋" w:hAnsi="仿宋" w:eastAsia="仿宋" w:cs="仿宋"/>
          <w:sz w:val="32"/>
          <w:szCs w:val="32"/>
        </w:rPr>
      </w:pPr>
      <w:r>
        <w:rPr>
          <w:rFonts w:hint="eastAsia" w:ascii="仿宋" w:hAnsi="仿宋" w:eastAsia="仿宋" w:cs="仿宋"/>
          <w:i w:val="0"/>
          <w:caps w:val="0"/>
          <w:color w:val="000000"/>
          <w:spacing w:val="0"/>
          <w:sz w:val="32"/>
          <w:szCs w:val="32"/>
          <w:shd w:val="clear" w:color="auto" w:fill="FFFFFF"/>
          <w:lang w:val="en-US" w:eastAsia="zh-CN"/>
        </w:rPr>
        <w:t>根据工作安排，现就《大余县中央财政油茶产业发展示范奖补项目实施方案(征求意见稿）》起草情况，作个简要说明。</w:t>
      </w:r>
    </w:p>
    <w:p w14:paraId="338EB5DC">
      <w:pPr>
        <w:keepNext w:val="0"/>
        <w:keepLines w:val="0"/>
        <w:pageBreakBefore w:val="0"/>
        <w:widowControl w:val="0"/>
        <w:kinsoku/>
        <w:wordWrap/>
        <w:overflowPunct/>
        <w:topLinePunct w:val="0"/>
        <w:autoSpaceDE/>
        <w:autoSpaceDN/>
        <w:bidi w:val="0"/>
        <w:adjustRightInd/>
        <w:snapToGrid/>
        <w:spacing w:line="480" w:lineRule="atLeast"/>
        <w:ind w:left="0" w:leftChars="0"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一、起草说明</w:t>
      </w:r>
    </w:p>
    <w:p w14:paraId="62374D74">
      <w:pPr>
        <w:keepNext w:val="0"/>
        <w:keepLines w:val="0"/>
        <w:pageBreakBefore w:val="0"/>
        <w:widowControl w:val="0"/>
        <w:kinsoku/>
        <w:wordWrap/>
        <w:overflowPunct/>
        <w:topLinePunct w:val="0"/>
        <w:autoSpaceDE/>
        <w:autoSpaceDN/>
        <w:bidi w:val="0"/>
        <w:adjustRightInd/>
        <w:snapToGrid/>
        <w:spacing w:line="480" w:lineRule="atLeast"/>
        <w:ind w:left="0" w:leftChars="0"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 xml:space="preserve">（一）政策背景 </w:t>
      </w:r>
    </w:p>
    <w:p w14:paraId="4263DB1F">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为深入贯彻习近平总书记关于油茶产业发展的重要指示精神，落实《财政部办公厅 国家林草局办公室关于实施中央财政油茶产业发展奖补政策的通知》（财办资环〔2023〕22号）及《江西省油茶产业发展三年行动方案（2023</w:t>
      </w:r>
      <w:r>
        <w:rPr>
          <w:rFonts w:hint="eastAsia" w:ascii="仿宋" w:hAnsi="仿宋" w:eastAsia="仿宋" w:cs="仿宋"/>
          <w:sz w:val="32"/>
          <w:szCs w:val="32"/>
          <w:lang w:eastAsia="zh-CN"/>
        </w:rPr>
        <w:t>—</w:t>
      </w:r>
      <w:r>
        <w:rPr>
          <w:rFonts w:hint="eastAsia" w:ascii="仿宋" w:hAnsi="仿宋" w:eastAsia="仿宋" w:cs="仿宋"/>
          <w:sz w:val="32"/>
          <w:szCs w:val="32"/>
        </w:rPr>
        <w:t>2025年）》</w:t>
      </w:r>
      <w:r>
        <w:rPr>
          <w:rFonts w:hint="eastAsia" w:ascii="仿宋" w:hAnsi="仿宋" w:eastAsia="仿宋" w:cs="仿宋"/>
          <w:sz w:val="32"/>
          <w:szCs w:val="32"/>
          <w:lang w:eastAsia="zh-CN"/>
        </w:rPr>
        <w:t>《赣州市人民政府办公室关于印发赣州市中央财政油茶产业发展示范奖补项目实施方案的通知》（赣市府办〔</w:t>
      </w:r>
      <w:r>
        <w:rPr>
          <w:rFonts w:hint="eastAsia" w:ascii="仿宋" w:hAnsi="仿宋" w:eastAsia="仿宋" w:cs="仿宋"/>
          <w:sz w:val="32"/>
          <w:szCs w:val="32"/>
          <w:lang w:val="en-US" w:eastAsia="zh-CN"/>
        </w:rPr>
        <w:t>2025</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6号</w:t>
      </w:r>
      <w:r>
        <w:rPr>
          <w:rFonts w:hint="eastAsia" w:ascii="仿宋" w:hAnsi="仿宋" w:eastAsia="仿宋" w:cs="仿宋"/>
          <w:sz w:val="32"/>
          <w:szCs w:val="32"/>
          <w:lang w:eastAsia="zh-CN"/>
        </w:rPr>
        <w:t>）</w:t>
      </w:r>
      <w:r>
        <w:rPr>
          <w:rFonts w:hint="eastAsia" w:ascii="仿宋" w:hAnsi="仿宋" w:eastAsia="仿宋" w:cs="仿宋"/>
          <w:sz w:val="32"/>
          <w:szCs w:val="32"/>
        </w:rPr>
        <w:t xml:space="preserve">要求，结合我县油茶产业基础与资源优势，制定本实施方案，旨在通过中央财政奖补资金引导，推动油茶产业全链条高质量发展，助力乡村振兴和国家粮油安全保障。 </w:t>
      </w:r>
    </w:p>
    <w:p w14:paraId="284EA98E">
      <w:pPr>
        <w:keepNext w:val="0"/>
        <w:keepLines w:val="0"/>
        <w:pageBreakBefore w:val="0"/>
        <w:widowControl w:val="0"/>
        <w:kinsoku/>
        <w:wordWrap/>
        <w:overflowPunct/>
        <w:topLinePunct w:val="0"/>
        <w:autoSpaceDE/>
        <w:autoSpaceDN/>
        <w:bidi w:val="0"/>
        <w:adjustRightInd/>
        <w:snapToGrid/>
        <w:spacing w:line="480" w:lineRule="atLeast"/>
        <w:ind w:left="0" w:leftChars="0"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（二）起草依据</w:t>
      </w:r>
    </w:p>
    <w:p w14:paraId="269B890B">
      <w:pPr>
        <w:keepNext w:val="0"/>
        <w:keepLines w:val="0"/>
        <w:pageBreakBefore w:val="0"/>
        <w:widowControl w:val="0"/>
        <w:kinsoku/>
        <w:wordWrap/>
        <w:overflowPunct/>
        <w:topLinePunct w:val="0"/>
        <w:autoSpaceDE/>
        <w:autoSpaceDN/>
        <w:bidi w:val="0"/>
        <w:adjustRightInd/>
        <w:snapToGrid/>
        <w:spacing w:line="480" w:lineRule="atLeast"/>
        <w:ind w:left="0" w:leftChars="0"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 xml:space="preserve"> 1. 国家层面</w:t>
      </w:r>
    </w:p>
    <w:p w14:paraId="1AF4D5BA">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《财政部办公厅 国家林草局办公室关于实施中央财政油茶产业发展奖补政策的通知》（财办资环〔2023〕22号）</w:t>
      </w:r>
    </w:p>
    <w:p w14:paraId="4EA68737">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《公平竞争审查条例》（国务院令第783号，2024年8月1日施行） </w:t>
      </w:r>
    </w:p>
    <w:p w14:paraId="513DF230">
      <w:pPr>
        <w:keepNext w:val="0"/>
        <w:keepLines w:val="0"/>
        <w:pageBreakBefore w:val="0"/>
        <w:widowControl w:val="0"/>
        <w:kinsoku/>
        <w:wordWrap/>
        <w:overflowPunct/>
        <w:topLinePunct w:val="0"/>
        <w:autoSpaceDE/>
        <w:autoSpaceDN/>
        <w:bidi w:val="0"/>
        <w:adjustRightInd/>
        <w:snapToGrid/>
        <w:spacing w:line="480" w:lineRule="atLeast"/>
        <w:ind w:left="0" w:leftChars="0"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2. 省级层面</w:t>
      </w:r>
    </w:p>
    <w:p w14:paraId="3EE4D8B7">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《江西省林业局、江西省发展和改革委员会、江西省财政厅关于印发江西省油茶产业发展三年行动方案（2023-2025年）的通知》（赣林产字〔2023〕11号）</w:t>
      </w:r>
    </w:p>
    <w:p w14:paraId="64F429DE">
      <w:pPr>
        <w:keepNext w:val="0"/>
        <w:keepLines w:val="0"/>
        <w:pageBreakBefore w:val="0"/>
        <w:widowControl w:val="0"/>
        <w:kinsoku/>
        <w:wordWrap/>
        <w:overflowPunct/>
        <w:topLinePunct w:val="0"/>
        <w:autoSpaceDE/>
        <w:autoSpaceDN/>
        <w:bidi w:val="0"/>
        <w:adjustRightInd/>
        <w:snapToGrid/>
        <w:spacing w:line="480" w:lineRule="atLeast"/>
        <w:ind w:left="0"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3. 市级层面</w:t>
      </w:r>
    </w:p>
    <w:p w14:paraId="17DF85FA">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《赣州市人民政府办公室关于印发推动油茶产业高质量发展三年行动方案的通知》（赣市府办字〔2023〕46号）</w:t>
      </w:r>
    </w:p>
    <w:p w14:paraId="6FF59732">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《赣州市中央财政油茶产业发展示范奖补项目实施方案》（2025年1月印发）</w:t>
      </w:r>
    </w:p>
    <w:p w14:paraId="1AF5D462">
      <w:pPr>
        <w:keepNext w:val="0"/>
        <w:keepLines w:val="0"/>
        <w:pageBreakBefore w:val="0"/>
        <w:widowControl w:val="0"/>
        <w:kinsoku/>
        <w:wordWrap/>
        <w:overflowPunct/>
        <w:topLinePunct w:val="0"/>
        <w:autoSpaceDE/>
        <w:autoSpaceDN/>
        <w:bidi w:val="0"/>
        <w:adjustRightInd/>
        <w:snapToGrid/>
        <w:spacing w:line="480" w:lineRule="atLeast"/>
        <w:ind w:left="0"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（三）起草过程</w:t>
      </w:r>
    </w:p>
    <w:p w14:paraId="370891A3">
      <w:pPr>
        <w:keepNext w:val="0"/>
        <w:keepLines w:val="0"/>
        <w:pageBreakBefore w:val="0"/>
        <w:widowControl w:val="0"/>
        <w:kinsoku/>
        <w:wordWrap/>
        <w:overflowPunct/>
        <w:topLinePunct w:val="0"/>
        <w:autoSpaceDE/>
        <w:autoSpaceDN/>
        <w:bidi w:val="0"/>
        <w:adjustRightInd/>
        <w:snapToGrid/>
        <w:spacing w:line="480" w:lineRule="atLeast"/>
        <w:ind w:left="0"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1. 调研论证：</w:t>
      </w:r>
      <w:r>
        <w:rPr>
          <w:rFonts w:hint="eastAsia" w:ascii="仿宋" w:hAnsi="仿宋" w:eastAsia="仿宋" w:cs="仿宋"/>
          <w:sz w:val="32"/>
          <w:szCs w:val="32"/>
        </w:rPr>
        <w:t>结合我县油茶种植面积、加工能力、产业链短板等现状，赴乡镇、企业实地调研，形成初步框架。</w:t>
      </w:r>
    </w:p>
    <w:p w14:paraId="70DDD007">
      <w:pPr>
        <w:keepNext w:val="0"/>
        <w:keepLines w:val="0"/>
        <w:pageBreakBefore w:val="0"/>
        <w:widowControl w:val="0"/>
        <w:kinsoku/>
        <w:wordWrap/>
        <w:overflowPunct/>
        <w:topLinePunct w:val="0"/>
        <w:autoSpaceDE/>
        <w:autoSpaceDN/>
        <w:bidi w:val="0"/>
        <w:adjustRightInd/>
        <w:snapToGrid/>
        <w:spacing w:line="480" w:lineRule="atLeast"/>
        <w:ind w:left="0"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2. 征求意见：</w:t>
      </w:r>
      <w:r>
        <w:rPr>
          <w:rFonts w:hint="eastAsia" w:ascii="仿宋" w:hAnsi="仿宋" w:eastAsia="仿宋" w:cs="仿宋"/>
          <w:sz w:val="32"/>
          <w:szCs w:val="32"/>
        </w:rPr>
        <w:t>书面征求县财政局、自然资源局、市场监管局等12个部门及乡镇意见</w:t>
      </w:r>
      <w:r>
        <w:rPr>
          <w:rFonts w:hint="eastAsia" w:ascii="仿宋" w:hAnsi="仿宋" w:eastAsia="仿宋" w:cs="仿宋"/>
          <w:sz w:val="32"/>
          <w:szCs w:val="32"/>
          <w:lang w:eastAsia="zh-CN"/>
        </w:rPr>
        <w:t>。</w:t>
      </w:r>
      <w:r>
        <w:rPr>
          <w:rFonts w:hint="eastAsia" w:ascii="仿宋" w:hAnsi="仿宋" w:eastAsia="仿宋" w:cs="仿宋"/>
          <w:sz w:val="32"/>
          <w:szCs w:val="32"/>
        </w:rPr>
        <w:t xml:space="preserve"> </w:t>
      </w:r>
    </w:p>
    <w:p w14:paraId="782DE516">
      <w:pPr>
        <w:keepNext w:val="0"/>
        <w:keepLines w:val="0"/>
        <w:pageBreakBefore w:val="0"/>
        <w:widowControl w:val="0"/>
        <w:kinsoku/>
        <w:wordWrap/>
        <w:overflowPunct/>
        <w:topLinePunct w:val="0"/>
        <w:autoSpaceDE/>
        <w:autoSpaceDN/>
        <w:bidi w:val="0"/>
        <w:adjustRightInd/>
        <w:snapToGrid/>
        <w:spacing w:line="480" w:lineRule="atLeast"/>
        <w:ind w:left="0"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3. 公平竞争初审：</w:t>
      </w:r>
      <w:r>
        <w:rPr>
          <w:rFonts w:hint="eastAsia" w:ascii="仿宋" w:hAnsi="仿宋" w:eastAsia="仿宋" w:cs="仿宋"/>
          <w:sz w:val="32"/>
          <w:szCs w:val="32"/>
        </w:rPr>
        <w:t>对照《公平竞争审查条例》第八条至第十一条标准，重点审查是否存在限制市场准入、妨碍要素流动、不当补贴等情形，形成初审结论。</w:t>
      </w:r>
    </w:p>
    <w:p w14:paraId="124B0A46">
      <w:pPr>
        <w:keepNext w:val="0"/>
        <w:keepLines w:val="0"/>
        <w:pageBreakBefore w:val="0"/>
        <w:widowControl w:val="0"/>
        <w:kinsoku/>
        <w:wordWrap/>
        <w:overflowPunct/>
        <w:topLinePunct w:val="0"/>
        <w:autoSpaceDE/>
        <w:autoSpaceDN/>
        <w:bidi w:val="0"/>
        <w:adjustRightInd/>
        <w:snapToGrid/>
        <w:spacing w:line="480" w:lineRule="atLeast"/>
        <w:ind w:left="0"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（四）主要内容</w:t>
      </w:r>
    </w:p>
    <w:p w14:paraId="429CC32E">
      <w:pPr>
        <w:keepNext w:val="0"/>
        <w:keepLines w:val="0"/>
        <w:pageBreakBefore w:val="0"/>
        <w:widowControl w:val="0"/>
        <w:kinsoku/>
        <w:wordWrap/>
        <w:overflowPunct/>
        <w:topLinePunct w:val="0"/>
        <w:autoSpaceDE/>
        <w:autoSpaceDN/>
        <w:bidi w:val="0"/>
        <w:adjustRightInd/>
        <w:snapToGrid/>
        <w:spacing w:line="480" w:lineRule="atLeast"/>
        <w:ind w:left="0" w:leftChars="0"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1. 总体目标</w:t>
      </w:r>
    </w:p>
    <w:p w14:paraId="4EE2D8BD">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到2025年，实现年产茶油1150吨，年综合产值3.8亿元以上，打造高产油茶示范基地、茶油加工集聚区及三产融合样板。</w:t>
      </w:r>
    </w:p>
    <w:p w14:paraId="28B45CE5">
      <w:pPr>
        <w:keepNext w:val="0"/>
        <w:keepLines w:val="0"/>
        <w:pageBreakBefore w:val="0"/>
        <w:widowControl w:val="0"/>
        <w:kinsoku/>
        <w:wordWrap/>
        <w:overflowPunct/>
        <w:topLinePunct w:val="0"/>
        <w:autoSpaceDE/>
        <w:autoSpaceDN/>
        <w:bidi w:val="0"/>
        <w:adjustRightInd/>
        <w:snapToGrid/>
        <w:spacing w:line="480" w:lineRule="atLeast"/>
        <w:ind w:left="0"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2. 重点任务</w:t>
      </w:r>
    </w:p>
    <w:p w14:paraId="7A406910">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扩面提质：新造高产油茶林，改造低产林，推广良种良法；</w:t>
      </w:r>
    </w:p>
    <w:p w14:paraId="201CF58C">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精深加工：扶持龙头企业升级设备，开发茶油衍生品；</w:t>
      </w:r>
    </w:p>
    <w:p w14:paraId="4108A440">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三产融合：推动“油茶+文旅”“油茶+康养”模式，建设体验基地；</w:t>
      </w:r>
    </w:p>
    <w:p w14:paraId="267A4133">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科技支撑：组建专家团队，推广水肥一体化等技术。</w:t>
      </w:r>
    </w:p>
    <w:p w14:paraId="3E60E755">
      <w:pPr>
        <w:keepNext w:val="0"/>
        <w:keepLines w:val="0"/>
        <w:pageBreakBefore w:val="0"/>
        <w:widowControl w:val="0"/>
        <w:kinsoku/>
        <w:wordWrap/>
        <w:overflowPunct/>
        <w:topLinePunct w:val="0"/>
        <w:autoSpaceDE/>
        <w:autoSpaceDN/>
        <w:bidi w:val="0"/>
        <w:adjustRightInd/>
        <w:snapToGrid/>
        <w:spacing w:line="480" w:lineRule="atLeast"/>
        <w:ind w:left="0"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3. 奖补标准</w:t>
      </w:r>
    </w:p>
    <w:p w14:paraId="5AC0E77A">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新造油茶林：除上级补助外，县财政</w:t>
      </w:r>
      <w:r>
        <w:rPr>
          <w:rFonts w:hint="eastAsia" w:ascii="仿宋" w:hAnsi="仿宋" w:eastAsia="仿宋" w:cs="仿宋"/>
          <w:sz w:val="32"/>
          <w:szCs w:val="32"/>
          <w:lang w:eastAsia="zh-CN"/>
        </w:rPr>
        <w:t>对使用</w:t>
      </w:r>
      <w:r>
        <w:rPr>
          <w:rFonts w:hint="eastAsia" w:ascii="仿宋" w:hAnsi="仿宋" w:eastAsia="仿宋" w:cs="仿宋"/>
          <w:sz w:val="32"/>
          <w:szCs w:val="32"/>
          <w:lang w:val="en-US" w:eastAsia="zh-CN"/>
        </w:rPr>
        <w:t>3年生容器大苗的新造油茶林</w:t>
      </w:r>
      <w:r>
        <w:rPr>
          <w:rFonts w:hint="eastAsia" w:ascii="仿宋" w:hAnsi="仿宋" w:eastAsia="仿宋" w:cs="仿宋"/>
          <w:sz w:val="32"/>
          <w:szCs w:val="32"/>
        </w:rPr>
        <w:t>配套</w:t>
      </w:r>
      <w:r>
        <w:rPr>
          <w:rFonts w:hint="eastAsia" w:ascii="仿宋" w:hAnsi="仿宋" w:eastAsia="仿宋" w:cs="仿宋"/>
          <w:sz w:val="32"/>
          <w:szCs w:val="32"/>
          <w:lang w:eastAsia="zh-CN"/>
        </w:rPr>
        <w:t>苗木补助</w:t>
      </w:r>
      <w:r>
        <w:rPr>
          <w:rFonts w:hint="eastAsia" w:ascii="仿宋" w:hAnsi="仿宋" w:eastAsia="仿宋" w:cs="仿宋"/>
          <w:sz w:val="32"/>
          <w:szCs w:val="32"/>
        </w:rPr>
        <w:t>200元/亩；</w:t>
      </w:r>
    </w:p>
    <w:p w14:paraId="39C4785E">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金融支持：纳入“农业产业振兴信贷通”，享受贴息政策。</w:t>
      </w:r>
    </w:p>
    <w:p w14:paraId="295ACA6D">
      <w:pPr>
        <w:keepNext w:val="0"/>
        <w:keepLines w:val="0"/>
        <w:pageBreakBefore w:val="0"/>
        <w:widowControl w:val="0"/>
        <w:kinsoku/>
        <w:wordWrap/>
        <w:overflowPunct/>
        <w:topLinePunct w:val="0"/>
        <w:autoSpaceDE/>
        <w:autoSpaceDN/>
        <w:bidi w:val="0"/>
        <w:adjustRightInd/>
        <w:snapToGrid/>
        <w:spacing w:line="480" w:lineRule="atLeast"/>
        <w:ind w:left="0"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二、法律法规依据</w:t>
      </w:r>
    </w:p>
    <w:p w14:paraId="439BA012">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（一）</w:t>
      </w:r>
      <w:r>
        <w:rPr>
          <w:rFonts w:hint="eastAsia" w:ascii="仿宋" w:hAnsi="仿宋" w:eastAsia="仿宋" w:cs="仿宋"/>
          <w:sz w:val="32"/>
          <w:szCs w:val="32"/>
        </w:rPr>
        <w:t>《公平竞争审查条例》（国务院令第783号）</w:t>
      </w:r>
    </w:p>
    <w:p w14:paraId="46452F43">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第十四条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县级以上人民政府出台政策措施，由市场监管部门会同起草单位开展公平竞争审查，起草单位需完成初审。</w:t>
      </w:r>
    </w:p>
    <w:p w14:paraId="34A33F46">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第八条至第十一条：禁止政策措施含有限制市场准入、妨碍商品要素流动、不当影响生产经营成本及行为等内容。</w:t>
      </w:r>
    </w:p>
    <w:p w14:paraId="218BD223">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第十二条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符合维护公共利益等情形且无替代方案的政策措施，可依法出台。</w:t>
      </w:r>
    </w:p>
    <w:p w14:paraId="7288423D">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（二）</w:t>
      </w:r>
      <w:r>
        <w:rPr>
          <w:rFonts w:hint="eastAsia" w:ascii="仿宋" w:hAnsi="仿宋" w:eastAsia="仿宋" w:cs="仿宋"/>
          <w:sz w:val="32"/>
          <w:szCs w:val="32"/>
        </w:rPr>
        <w:t>《财政部办公厅 国家林草局办公室关于实施中央财政油茶产业发展奖补政策的通知》（财办资环〔2023〕22号）</w:t>
      </w:r>
    </w:p>
    <w:p w14:paraId="216240D2">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明确中央财政奖补资金支持范围、申报程序及绩效要求，强调全产业链布局与公平竞争原则。</w:t>
      </w:r>
    </w:p>
    <w:p w14:paraId="47B752FA">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（三）</w:t>
      </w:r>
      <w:r>
        <w:rPr>
          <w:rFonts w:hint="eastAsia" w:ascii="仿宋" w:hAnsi="仿宋" w:eastAsia="仿宋" w:cs="仿宋"/>
          <w:sz w:val="32"/>
          <w:szCs w:val="32"/>
        </w:rPr>
        <w:t>《江西省油茶产业发展三年行动方案（2023-2025年）》</w:t>
      </w:r>
    </w:p>
    <w:p w14:paraId="7B115412">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提出“扩面、提产、增效”目标，要求市县制定配套政策，强化资金统筹与公平竞争审查。</w:t>
      </w:r>
    </w:p>
    <w:p w14:paraId="55AA432E">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textAlignment w:val="auto"/>
        <w:rPr>
          <w:rFonts w:hint="eastAsia" w:ascii="仿宋" w:hAnsi="仿宋" w:eastAsia="仿宋" w:cs="仿宋"/>
          <w:sz w:val="32"/>
          <w:szCs w:val="32"/>
        </w:rPr>
      </w:pPr>
      <w:bookmarkStart w:id="0" w:name="_GoBack"/>
      <w:bookmarkEnd w:id="0"/>
    </w:p>
    <w:p w14:paraId="2F7218CE">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仿宋" w:hAnsi="仿宋" w:eastAsia="仿宋" w:cs="仿宋"/>
          <w:sz w:val="32"/>
          <w:szCs w:val="32"/>
          <w:lang w:eastAsia="zh-CN"/>
        </w:rPr>
      </w:pPr>
    </w:p>
    <w:p w14:paraId="30832DE1">
      <w:pPr>
        <w:keepNext w:val="0"/>
        <w:keepLines w:val="0"/>
        <w:pageBreakBefore w:val="0"/>
        <w:widowControl w:val="0"/>
        <w:kinsoku/>
        <w:wordWrap/>
        <w:overflowPunct/>
        <w:topLinePunct w:val="0"/>
        <w:autoSpaceDE/>
        <w:autoSpaceDN/>
        <w:bidi w:val="0"/>
        <w:adjustRightInd/>
        <w:snapToGrid/>
        <w:spacing w:line="480" w:lineRule="atLeast"/>
        <w:jc w:val="righ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大余县林业局</w:t>
      </w:r>
    </w:p>
    <w:p w14:paraId="0EBDD339">
      <w:pPr>
        <w:keepNext w:val="0"/>
        <w:keepLines w:val="0"/>
        <w:pageBreakBefore w:val="0"/>
        <w:widowControl w:val="0"/>
        <w:kinsoku/>
        <w:wordWrap/>
        <w:overflowPunct/>
        <w:topLinePunct w:val="0"/>
        <w:autoSpaceDE/>
        <w:autoSpaceDN/>
        <w:bidi w:val="0"/>
        <w:adjustRightInd/>
        <w:snapToGrid/>
        <w:spacing w:line="480" w:lineRule="atLeast"/>
        <w:jc w:val="righ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2025年2月14日</w:t>
      </w:r>
    </w:p>
    <w:p w14:paraId="4680C98E">
      <w:pPr>
        <w:keepNext w:val="0"/>
        <w:keepLines w:val="0"/>
        <w:pageBreakBefore w:val="0"/>
        <w:widowControl w:val="0"/>
        <w:kinsoku/>
        <w:wordWrap/>
        <w:overflowPunct/>
        <w:topLinePunct w:val="0"/>
        <w:autoSpaceDE/>
        <w:autoSpaceDN/>
        <w:bidi w:val="0"/>
        <w:adjustRightInd/>
        <w:snapToGrid/>
        <w:spacing w:line="480" w:lineRule="atLeast"/>
        <w:ind w:left="0" w:leftChars="0" w:firstLine="640" w:firstLineChars="200"/>
        <w:textAlignment w:val="auto"/>
        <w:rPr>
          <w:rFonts w:hint="eastAsia" w:ascii="仿宋" w:hAnsi="仿宋" w:eastAsia="仿宋" w:cs="仿宋"/>
          <w:sz w:val="32"/>
          <w:szCs w:val="32"/>
        </w:rPr>
      </w:pPr>
    </w:p>
    <w:p w14:paraId="273BCA18">
      <w:pPr>
        <w:keepNext w:val="0"/>
        <w:keepLines w:val="0"/>
        <w:pageBreakBefore w:val="0"/>
        <w:widowControl w:val="0"/>
        <w:kinsoku/>
        <w:wordWrap/>
        <w:overflowPunct/>
        <w:topLinePunct w:val="0"/>
        <w:autoSpaceDE/>
        <w:autoSpaceDN/>
        <w:bidi w:val="0"/>
        <w:adjustRightInd/>
        <w:snapToGrid/>
        <w:spacing w:line="480" w:lineRule="atLeast"/>
        <w:ind w:left="0" w:leftChars="0" w:firstLine="0" w:firstLineChars="0"/>
        <w:jc w:val="center"/>
        <w:textAlignment w:val="auto"/>
        <w:rPr>
          <w:rFonts w:hint="eastAsia" w:ascii="仿宋" w:hAnsi="仿宋" w:eastAsia="仿宋" w:cs="仿宋"/>
          <w:sz w:val="32"/>
          <w:szCs w:val="32"/>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206027">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970F2E">
                          <w:pPr>
                            <w:pStyle w:val="3"/>
                          </w:pPr>
                          <w:r>
                            <w:rPr>
                              <w:rFonts w:hint="eastAsia" w:ascii="宋体" w:hAnsi="宋体" w:cs="宋体"/>
                              <w:sz w:val="28"/>
                              <w:szCs w:val="28"/>
                              <w:lang w:val="en-US" w:eastAsia="zh-CN"/>
                            </w:rPr>
                            <w:t xml:space="preserve">— </w:t>
                          </w:r>
                          <w:r>
                            <w:rPr>
                              <w:rFonts w:hint="eastAsia" w:ascii="宋体" w:hAnsi="宋体" w:cs="宋体"/>
                              <w:sz w:val="28"/>
                              <w:szCs w:val="28"/>
                              <w:lang w:val="en-US" w:eastAsia="zh-CN"/>
                            </w:rPr>
                            <w:fldChar w:fldCharType="begin"/>
                          </w:r>
                          <w:r>
                            <w:rPr>
                              <w:rFonts w:hint="eastAsia" w:ascii="宋体" w:hAnsi="宋体" w:cs="宋体"/>
                              <w:sz w:val="28"/>
                              <w:szCs w:val="28"/>
                              <w:lang w:val="en-US" w:eastAsia="zh-CN"/>
                            </w:rPr>
                            <w:instrText xml:space="preserve"> PAGE  \* MERGEFORMAT </w:instrText>
                          </w:r>
                          <w:r>
                            <w:rPr>
                              <w:rFonts w:hint="eastAsia" w:ascii="宋体" w:hAnsi="宋体" w:cs="宋体"/>
                              <w:sz w:val="28"/>
                              <w:szCs w:val="28"/>
                              <w:lang w:val="en-US" w:eastAsia="zh-CN"/>
                            </w:rPr>
                            <w:fldChar w:fldCharType="separate"/>
                          </w:r>
                          <w:r>
                            <w:rPr>
                              <w:rFonts w:hint="eastAsia" w:ascii="宋体" w:hAnsi="宋体" w:cs="宋体"/>
                              <w:sz w:val="28"/>
                              <w:szCs w:val="28"/>
                              <w:lang w:val="en-US" w:eastAsia="zh-CN"/>
                            </w:rPr>
                            <w:t>3</w:t>
                          </w:r>
                          <w:r>
                            <w:rPr>
                              <w:rFonts w:hint="eastAsia" w:ascii="宋体" w:hAnsi="宋体" w:cs="宋体"/>
                              <w:sz w:val="28"/>
                              <w:szCs w:val="28"/>
                              <w:lang w:val="en-US" w:eastAsia="zh-CN"/>
                            </w:rPr>
                            <w:fldChar w:fldCharType="end"/>
                          </w:r>
                          <w:r>
                            <w:rPr>
                              <w:rFonts w:hint="eastAsia" w:ascii="宋体" w:hAnsi="宋体" w:cs="宋体"/>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E970F2E">
                    <w:pPr>
                      <w:pStyle w:val="3"/>
                    </w:pPr>
                    <w:r>
                      <w:rPr>
                        <w:rFonts w:hint="eastAsia" w:ascii="宋体" w:hAnsi="宋体" w:cs="宋体"/>
                        <w:sz w:val="28"/>
                        <w:szCs w:val="28"/>
                        <w:lang w:val="en-US" w:eastAsia="zh-CN"/>
                      </w:rPr>
                      <w:t xml:space="preserve">— </w:t>
                    </w:r>
                    <w:r>
                      <w:rPr>
                        <w:rFonts w:hint="eastAsia" w:ascii="宋体" w:hAnsi="宋体" w:cs="宋体"/>
                        <w:sz w:val="28"/>
                        <w:szCs w:val="28"/>
                        <w:lang w:val="en-US" w:eastAsia="zh-CN"/>
                      </w:rPr>
                      <w:fldChar w:fldCharType="begin"/>
                    </w:r>
                    <w:r>
                      <w:rPr>
                        <w:rFonts w:hint="eastAsia" w:ascii="宋体" w:hAnsi="宋体" w:cs="宋体"/>
                        <w:sz w:val="28"/>
                        <w:szCs w:val="28"/>
                        <w:lang w:val="en-US" w:eastAsia="zh-CN"/>
                      </w:rPr>
                      <w:instrText xml:space="preserve"> PAGE  \* MERGEFORMAT </w:instrText>
                    </w:r>
                    <w:r>
                      <w:rPr>
                        <w:rFonts w:hint="eastAsia" w:ascii="宋体" w:hAnsi="宋体" w:cs="宋体"/>
                        <w:sz w:val="28"/>
                        <w:szCs w:val="28"/>
                        <w:lang w:val="en-US" w:eastAsia="zh-CN"/>
                      </w:rPr>
                      <w:fldChar w:fldCharType="separate"/>
                    </w:r>
                    <w:r>
                      <w:rPr>
                        <w:rFonts w:hint="eastAsia" w:ascii="宋体" w:hAnsi="宋体" w:cs="宋体"/>
                        <w:sz w:val="28"/>
                        <w:szCs w:val="28"/>
                        <w:lang w:val="en-US" w:eastAsia="zh-CN"/>
                      </w:rPr>
                      <w:t>3</w:t>
                    </w:r>
                    <w:r>
                      <w:rPr>
                        <w:rFonts w:hint="eastAsia" w:ascii="宋体" w:hAnsi="宋体" w:cs="宋体"/>
                        <w:sz w:val="28"/>
                        <w:szCs w:val="28"/>
                        <w:lang w:val="en-US" w:eastAsia="zh-CN"/>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0ZjI3ZTI5NDcwOTRiZGViYmY5ZDliNjExYmRkNDgifQ=="/>
  </w:docVars>
  <w:rsids>
    <w:rsidRoot w:val="22866899"/>
    <w:rsid w:val="0D3B6808"/>
    <w:rsid w:val="103551E8"/>
    <w:rsid w:val="12405C4E"/>
    <w:rsid w:val="17123F41"/>
    <w:rsid w:val="187301FD"/>
    <w:rsid w:val="1F4147DE"/>
    <w:rsid w:val="22866899"/>
    <w:rsid w:val="23757D31"/>
    <w:rsid w:val="2E827C31"/>
    <w:rsid w:val="2E853EDD"/>
    <w:rsid w:val="2F095D7A"/>
    <w:rsid w:val="2FB70A55"/>
    <w:rsid w:val="31713640"/>
    <w:rsid w:val="475D17AD"/>
    <w:rsid w:val="55043BCD"/>
    <w:rsid w:val="5BCB1AAB"/>
    <w:rsid w:val="5E6815D8"/>
    <w:rsid w:val="69B763AB"/>
    <w:rsid w:val="70B262DF"/>
    <w:rsid w:val="724713C7"/>
    <w:rsid w:val="7B0D5CE3"/>
    <w:rsid w:val="7FE945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宋体"/>
      <w:sz w:val="28"/>
      <w:szCs w:val="2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1308</Words>
  <Characters>1386</Characters>
  <Lines>0</Lines>
  <Paragraphs>0</Paragraphs>
  <TotalTime>1</TotalTime>
  <ScaleCrop>false</ScaleCrop>
  <LinksUpToDate>false</LinksUpToDate>
  <CharactersWithSpaces>1407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2025-03-24T07:11:00Z</dcterms:created>
  <dc:creator>Administrator</dc:creator>
  <cp:lastModifiedBy>大梦</cp:lastModifiedBy>
  <dcterms:modified xsi:type="dcterms:W3CDTF">2025-07-22T00:56:03Z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B1268D588E7B44DC8389D3CB27B87CFF_13</vt:lpwstr>
  </property>
  <property fmtid="{D5CDD505-2E9C-101B-9397-08002B2CF9AE}" pid="4" name="KSOTemplateDocerSaveRecord">
    <vt:lpwstr>eyJoZGlkIjoiZmNkYWU1MDZjZGVkN2RiMTJhMTUzNWE3ZDBiNDliODUiLCJ1c2VySWQiOiI1OTAxMjkwMDEifQ==</vt:lpwstr>
  </property>
</Properties>
</file>