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000000"/>
          <w:kern w:val="0"/>
          <w:sz w:val="44"/>
          <w:szCs w:val="44"/>
          <w:lang w:val="en-US" w:eastAsia="zh-CN"/>
        </w:rPr>
      </w:pPr>
      <w:r>
        <w:rPr>
          <w:rFonts w:hint="eastAsia" w:ascii="方正小标宋简体" w:hAnsi="方正小标宋简体" w:eastAsia="方正小标宋简体" w:cs="方正小标宋简体"/>
          <w:color w:val="000000"/>
          <w:kern w:val="0"/>
          <w:sz w:val="44"/>
          <w:szCs w:val="44"/>
          <w:lang w:val="en-US" w:eastAsia="zh-CN"/>
        </w:rPr>
        <w:t>大余县2024年推进商贸企业入规</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000000"/>
          <w:kern w:val="0"/>
          <w:sz w:val="44"/>
          <w:szCs w:val="44"/>
          <w:lang w:val="en-US" w:eastAsia="zh-CN"/>
        </w:rPr>
      </w:pPr>
      <w:r>
        <w:rPr>
          <w:rFonts w:hint="eastAsia" w:ascii="方正小标宋简体" w:hAnsi="方正小标宋简体" w:eastAsia="方正小标宋简体" w:cs="方正小标宋简体"/>
          <w:color w:val="000000"/>
          <w:kern w:val="0"/>
          <w:sz w:val="44"/>
          <w:szCs w:val="44"/>
          <w:lang w:val="en-US" w:eastAsia="zh-CN"/>
        </w:rPr>
        <w:t>工作实施方案</w:t>
      </w:r>
    </w:p>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征求意见稿</w:t>
      </w:r>
      <w:bookmarkStart w:id="0" w:name="_GoBack"/>
      <w:bookmarkEnd w:id="0"/>
      <w:r>
        <w:rPr>
          <w:rFonts w:hint="eastAsia" w:ascii="楷体_GB2312" w:hAnsi="楷体_GB2312" w:eastAsia="楷体_GB2312" w:cs="楷体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lang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为加快推动限上商贸企业入规工作，全面提升我县商贸流通业经济发展水平，特制定本实施方案。</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b w:val="0"/>
          <w:bCs w:val="0"/>
          <w:color w:val="000000"/>
          <w:kern w:val="0"/>
          <w:sz w:val="32"/>
          <w:szCs w:val="32"/>
          <w:lang w:val="en-US" w:eastAsia="zh-CN"/>
        </w:rPr>
        <w:t>一、目标任务</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ascii="宋体" w:hAnsi="宋体" w:eastAsia="仿宋_GB2312" w:cs="Nimbus Roman No9 L"/>
          <w:sz w:val="32"/>
          <w:szCs w:val="32"/>
        </w:rPr>
      </w:pPr>
      <w:r>
        <w:rPr>
          <w:rFonts w:hint="eastAsia" w:ascii="仿宋_GB2312" w:hAnsi="仿宋_GB2312" w:eastAsia="仿宋_GB2312" w:cs="仿宋_GB2312"/>
          <w:sz w:val="32"/>
          <w:szCs w:val="32"/>
        </w:rPr>
        <w:t>推进一批批发</w:t>
      </w:r>
      <w:r>
        <w:rPr>
          <w:rFonts w:hint="eastAsia" w:ascii="仿宋_GB2312" w:hAnsi="仿宋_GB2312" w:eastAsia="仿宋_GB2312" w:cs="仿宋_GB2312"/>
          <w:sz w:val="32"/>
          <w:szCs w:val="32"/>
          <w:lang w:eastAsia="zh-CN"/>
        </w:rPr>
        <w:t>业、</w:t>
      </w:r>
      <w:r>
        <w:rPr>
          <w:rFonts w:hint="eastAsia" w:ascii="仿宋_GB2312" w:hAnsi="仿宋_GB2312" w:eastAsia="仿宋_GB2312" w:cs="仿宋_GB2312"/>
          <w:sz w:val="32"/>
          <w:szCs w:val="32"/>
        </w:rPr>
        <w:t>零售业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住宿</w:t>
      </w:r>
      <w:r>
        <w:rPr>
          <w:rFonts w:hint="eastAsia" w:ascii="仿宋_GB2312" w:hAnsi="仿宋_GB2312" w:eastAsia="仿宋_GB2312" w:cs="仿宋_GB2312"/>
          <w:sz w:val="32"/>
          <w:szCs w:val="32"/>
          <w:lang w:eastAsia="zh-CN"/>
        </w:rPr>
        <w:t>业</w:t>
      </w:r>
      <w:r>
        <w:rPr>
          <w:rFonts w:hint="eastAsia" w:ascii="仿宋_GB2312" w:hAnsi="仿宋_GB2312" w:eastAsia="仿宋_GB2312" w:cs="仿宋_GB2312"/>
          <w:sz w:val="32"/>
          <w:szCs w:val="32"/>
        </w:rPr>
        <w:t>和餐饮业企业（含大个体）</w:t>
      </w:r>
      <w:r>
        <w:rPr>
          <w:rFonts w:hint="eastAsia" w:ascii="仿宋_GB2312" w:hAnsi="仿宋_GB2312" w:eastAsia="仿宋_GB2312" w:cs="仿宋_GB2312"/>
          <w:color w:val="000000"/>
          <w:kern w:val="0"/>
          <w:sz w:val="32"/>
          <w:szCs w:val="32"/>
          <w:lang w:val="en-US" w:eastAsia="zh-CN"/>
        </w:rPr>
        <w:t>高质量</w:t>
      </w:r>
      <w:r>
        <w:rPr>
          <w:rFonts w:hint="eastAsia" w:ascii="仿宋_GB2312" w:hAnsi="仿宋_GB2312" w:eastAsia="仿宋_GB2312" w:cs="仿宋_GB2312"/>
          <w:sz w:val="32"/>
          <w:szCs w:val="32"/>
        </w:rPr>
        <w:t>成长入规，202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年实现限额以上商贸企业（含大个体）新增</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家以上。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highlight w:val="none"/>
          <w:lang w:val="en-US" w:eastAsia="zh-CN"/>
        </w:rPr>
      </w:pPr>
      <w:r>
        <w:rPr>
          <w:rFonts w:hint="eastAsia" w:ascii="黑体" w:hAnsi="黑体" w:eastAsia="黑体" w:cs="黑体"/>
          <w:b w:val="0"/>
          <w:bCs w:val="0"/>
          <w:color w:val="000000"/>
          <w:kern w:val="0"/>
          <w:sz w:val="32"/>
          <w:szCs w:val="32"/>
          <w:highlight w:val="none"/>
          <w:lang w:val="en-US" w:eastAsia="zh-CN"/>
        </w:rPr>
        <w:t>二、奖励措施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val="0"/>
          <w:kern w:val="0"/>
          <w:sz w:val="32"/>
          <w:szCs w:val="32"/>
          <w:highlight w:val="none"/>
          <w:lang w:val="en-US" w:eastAsia="zh-CN"/>
        </w:rPr>
      </w:pPr>
      <w:r>
        <w:rPr>
          <w:rFonts w:hint="eastAsia" w:ascii="楷体_GB2312" w:hAnsi="楷体_GB2312" w:eastAsia="楷体_GB2312" w:cs="楷体_GB2312"/>
          <w:b/>
          <w:bCs w:val="0"/>
          <w:kern w:val="0"/>
          <w:sz w:val="32"/>
          <w:szCs w:val="32"/>
          <w:highlight w:val="none"/>
          <w:lang w:val="en-US" w:eastAsia="zh-CN"/>
        </w:rPr>
        <w:t>（一）建立政策奖励机制，多措并举补弱项。</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对统计部门认定的当年月度新增的限上商贸企业给予8万元现金奖励、当年年度新增的限上商贸企业给予5万元现金奖励(当年新增的月度、年度入规企业需在库满1年方可享受入规现金奖励)，享受贸易扶持政策的入规企业不再享受此政策。</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探索成长型企业减负机制，通过购买服务的方式，为拟入规企业统一采购符合统计标准的收银系统，使企业达到统计入规标准要求，解决企业入规顾虑。同时，购买会计记账服务，为入规企业提供技术咨询，减少企业财务成本。</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000000"/>
          <w:kern w:val="0"/>
          <w:sz w:val="32"/>
          <w:szCs w:val="32"/>
          <w:highlight w:val="yellow"/>
          <w:lang w:val="en-US" w:eastAsia="zh-CN"/>
        </w:rPr>
      </w:pPr>
      <w:r>
        <w:rPr>
          <w:rFonts w:hint="eastAsia" w:ascii="仿宋_GB2312" w:hAnsi="仿宋_GB2312" w:eastAsia="仿宋_GB2312" w:cs="仿宋_GB2312"/>
          <w:color w:val="000000"/>
          <w:kern w:val="0"/>
          <w:sz w:val="32"/>
          <w:szCs w:val="32"/>
          <w:highlight w:val="none"/>
          <w:lang w:val="en-US" w:eastAsia="zh-CN"/>
        </w:rPr>
        <w:t>3.参照“四上”企业统计人员岗位补贴，按照200元/月标准设立入规在库商贸企业统计人员岗位补贴，发放对象为负责企业数据报送的企业统计人员，县统计局负责此项补贴的考核与发放。</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val="0"/>
          <w:kern w:val="0"/>
          <w:sz w:val="32"/>
          <w:szCs w:val="32"/>
          <w:highlight w:val="none"/>
          <w:lang w:val="en-US" w:eastAsia="zh-CN"/>
        </w:rPr>
      </w:pPr>
      <w:r>
        <w:rPr>
          <w:rFonts w:hint="eastAsia" w:ascii="楷体_GB2312" w:hAnsi="楷体_GB2312" w:eastAsia="楷体_GB2312" w:cs="楷体_GB2312"/>
          <w:b/>
          <w:bCs w:val="0"/>
          <w:kern w:val="0"/>
          <w:sz w:val="32"/>
          <w:szCs w:val="32"/>
          <w:highlight w:val="none"/>
          <w:lang w:val="en-US" w:eastAsia="zh-CN"/>
        </w:rPr>
        <w:t>（二）持续加大对入规入统和优质企业支持力度</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1.在“五一”“中秋”“国庆”“元旦”“春节”等重要节假日，发放政府电子消费券，激励优质商贸企业和正在培育入规的商贸企业做大做强。</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2.全县各部门单位工会组织发放职工福利所需物资，工会会员可自愿选择限上商贸企业或正在培育入规的商贸企业采购。</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3.会议服务、办公用品等纳入定点采购、协议采购的政府集中采购项目，取得定点采购、协议采购资格的限上商贸企业可依法参与投标。未列入政府集中采购目录且未达到分散采购限额标准的政府公务接待（会议服务）、办公用品等，限上商贸企业可依法参与市场竞争。</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 xml:space="preserve">三、工作要求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（一）统一思想，提高认识。</w:t>
      </w:r>
      <w:r>
        <w:rPr>
          <w:rFonts w:hint="eastAsia" w:ascii="仿宋_GB2312" w:hAnsi="仿宋_GB2312" w:eastAsia="仿宋_GB2312" w:cs="仿宋_GB2312"/>
          <w:color w:val="000000"/>
          <w:kern w:val="0"/>
          <w:sz w:val="32"/>
          <w:szCs w:val="32"/>
          <w:lang w:val="en-US" w:eastAsia="zh-CN" w:bidi="ar"/>
        </w:rPr>
        <w:t xml:space="preserve">商贸业发展水平是衡量经济发展程度的重要标志。做好优质商贸企业培育工作，对于准确反映我县“批零住餐”四大行业的发展规模，提升商贸业发展水平具有十分重要的意义。各乡镇、各行业主管部门要提高思想认识，认真做好优质商贸企业培育各项工作。 </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bCs w:val="0"/>
          <w:kern w:val="0"/>
          <w:sz w:val="32"/>
          <w:szCs w:val="32"/>
          <w:highlight w:val="none"/>
          <w:lang w:val="en-US" w:eastAsia="zh-CN"/>
        </w:rPr>
        <w:t>（二）加强调度，细化举措。</w:t>
      </w:r>
      <w:r>
        <w:rPr>
          <w:rFonts w:hint="eastAsia" w:ascii="仿宋_GB2312" w:hAnsi="仿宋_GB2312" w:eastAsia="仿宋_GB2312" w:cs="仿宋_GB2312"/>
          <w:color w:val="000000"/>
          <w:kern w:val="0"/>
          <w:sz w:val="32"/>
          <w:szCs w:val="32"/>
          <w:lang w:val="en-US" w:eastAsia="zh-CN" w:bidi="ar"/>
        </w:rPr>
        <w:t>将摸底企业入规任务下达至相关责任或职能部门、属地乡镇和城市社区，要求将工业企业工贸分离入规任务纳入挂点服务单位服务范围。建立每月一调度机制，将商贸企业入规纳入经济运行重要工作，补齐短板弱项，定期对按时完成优质商贸企业培育目标的单位通报表扬，对培育工作不重视、摸底工作质量差、跟踪服务不主动的，进行通报批评。</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楷体_GB2312" w:hAnsi="楷体_GB2312" w:eastAsia="楷体_GB2312" w:cs="楷体_GB2312"/>
          <w:b/>
          <w:bCs w:val="0"/>
          <w:kern w:val="0"/>
          <w:sz w:val="32"/>
          <w:szCs w:val="32"/>
          <w:highlight w:val="none"/>
          <w:lang w:val="en-US" w:eastAsia="zh-CN"/>
        </w:rPr>
        <w:t>（三）加强宣传，强化落实。</w:t>
      </w:r>
      <w:r>
        <w:rPr>
          <w:rFonts w:hint="eastAsia" w:ascii="仿宋_GB2312" w:hAnsi="仿宋_GB2312" w:eastAsia="仿宋_GB2312" w:cs="仿宋_GB2312"/>
          <w:color w:val="000000"/>
          <w:kern w:val="0"/>
          <w:sz w:val="32"/>
          <w:szCs w:val="32"/>
          <w:highlight w:val="none"/>
          <w:lang w:val="en-US" w:eastAsia="zh-CN"/>
        </w:rPr>
        <w:t>各乡镇、各行业主管部门要履职尽责，主动作为，抓好落实，主动深入各类商贸流通服务企业进行政策宣传与解释说明工作，进一步消除企业顾虑，精心培育本行业入规企业，帮助企业解决工作中存在的困难和问题，推进企业尽快入规入统。</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000000"/>
          <w:kern w:val="0"/>
          <w:sz w:val="32"/>
          <w:szCs w:val="32"/>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附件1：</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880" w:firstLineChars="200"/>
        <w:jc w:val="center"/>
        <w:textAlignment w:val="auto"/>
        <w:rPr>
          <w:rFonts w:hint="eastAsia" w:ascii="方正小标宋简体" w:hAnsi="方正小标宋简体" w:eastAsia="方正小标宋简体" w:cs="方正小标宋简体"/>
          <w:b/>
          <w:bCs/>
          <w:color w:val="000000"/>
          <w:kern w:val="0"/>
          <w:sz w:val="44"/>
          <w:szCs w:val="44"/>
          <w:lang w:val="en-US" w:eastAsia="zh-CN"/>
        </w:rPr>
      </w:pPr>
      <w:r>
        <w:rPr>
          <w:rFonts w:hint="eastAsia" w:ascii="方正小标宋简体" w:hAnsi="方正小标宋简体" w:eastAsia="方正小标宋简体" w:cs="方正小标宋简体"/>
          <w:b w:val="0"/>
          <w:bCs w:val="0"/>
          <w:color w:val="000000"/>
          <w:kern w:val="0"/>
          <w:sz w:val="44"/>
          <w:szCs w:val="44"/>
          <w:lang w:val="en-US" w:eastAsia="zh-CN"/>
        </w:rPr>
        <w:t>申报要点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color w:val="000000"/>
          <w:spacing w:val="-4"/>
          <w:kern w:val="0"/>
          <w:sz w:val="32"/>
          <w:szCs w:val="32"/>
        </w:rPr>
      </w:pPr>
      <w:r>
        <w:rPr>
          <w:rFonts w:hint="eastAsia" w:ascii="黑体" w:hAnsi="黑体" w:eastAsia="黑体" w:cs="黑体"/>
          <w:b w:val="0"/>
          <w:bCs/>
          <w:kern w:val="0"/>
          <w:sz w:val="32"/>
          <w:szCs w:val="32"/>
          <w:lang w:val="en-US" w:eastAsia="zh-CN"/>
        </w:rPr>
        <w:t>一、</w:t>
      </w:r>
      <w:r>
        <w:rPr>
          <w:rFonts w:hint="eastAsia" w:ascii="黑体" w:hAnsi="黑体" w:eastAsia="黑体" w:cs="黑体"/>
          <w:b w:val="0"/>
          <w:bCs/>
          <w:kern w:val="0"/>
          <w:sz w:val="32"/>
          <w:szCs w:val="32"/>
        </w:rPr>
        <w:t>申报</w:t>
      </w:r>
      <w:r>
        <w:rPr>
          <w:rFonts w:hint="eastAsia" w:ascii="黑体" w:hAnsi="黑体" w:eastAsia="黑体" w:cs="黑体"/>
          <w:b w:val="0"/>
          <w:bCs/>
          <w:kern w:val="0"/>
          <w:sz w:val="32"/>
          <w:szCs w:val="32"/>
          <w:lang w:val="en-US" w:eastAsia="zh-CN"/>
        </w:rPr>
        <w:t>主体</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限额以上批发零售业、住宿餐饮业法人单位；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（二）非批发零售业、住宿餐饮业法人单位附营的限额以上批发零售业、住宿餐饮业产业活动单位；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pacing w:val="-4"/>
          <w:kern w:val="0"/>
          <w:sz w:val="32"/>
          <w:szCs w:val="32"/>
          <w:lang w:val="en-US"/>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批零住餐业大个体户。</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kern w:val="0"/>
          <w:sz w:val="32"/>
          <w:szCs w:val="32"/>
          <w:lang w:val="en-US" w:eastAsia="zh-CN"/>
        </w:rPr>
      </w:pPr>
      <w:r>
        <w:rPr>
          <w:rFonts w:hint="eastAsia" w:ascii="黑体" w:hAnsi="黑体" w:eastAsia="黑体" w:cs="黑体"/>
          <w:b w:val="0"/>
          <w:bCs/>
          <w:kern w:val="0"/>
          <w:sz w:val="32"/>
          <w:szCs w:val="32"/>
          <w:lang w:val="en-US" w:eastAsia="zh-CN"/>
        </w:rPr>
        <w:t>二、入规标准</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批发业：</w:t>
      </w:r>
      <w:r>
        <w:rPr>
          <w:rFonts w:hint="eastAsia" w:ascii="仿宋_GB2312" w:hAnsi="仿宋_GB2312" w:eastAsia="仿宋_GB2312" w:cs="仿宋_GB2312"/>
          <w:color w:val="000000"/>
          <w:kern w:val="0"/>
          <w:sz w:val="32"/>
          <w:szCs w:val="32"/>
        </w:rPr>
        <w:t>年主营业务收入2000万元及以上；</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零售</w:t>
      </w:r>
      <w:r>
        <w:rPr>
          <w:rFonts w:hint="eastAsia" w:ascii="仿宋_GB2312" w:hAnsi="仿宋_GB2312" w:eastAsia="仿宋_GB2312" w:cs="仿宋_GB2312"/>
          <w:sz w:val="32"/>
          <w:szCs w:val="32"/>
        </w:rPr>
        <w:t>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rPr>
        <w:t>年主营业务收入500万元及以上；</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住宿和餐饮业：</w:t>
      </w:r>
      <w:r>
        <w:rPr>
          <w:rFonts w:hint="eastAsia" w:ascii="仿宋_GB2312" w:hAnsi="仿宋_GB2312" w:eastAsia="仿宋_GB2312" w:cs="仿宋_GB2312"/>
          <w:color w:val="000000"/>
          <w:kern w:val="0"/>
          <w:sz w:val="32"/>
          <w:szCs w:val="32"/>
        </w:rPr>
        <w:t>年主营业务收入200万元及以上</w:t>
      </w:r>
      <w:r>
        <w:rPr>
          <w:rFonts w:hint="eastAsia" w:ascii="仿宋_GB2312" w:hAnsi="仿宋_GB2312" w:eastAsia="仿宋_GB2312" w:cs="仿宋_GB2312"/>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kern w:val="0"/>
          <w:sz w:val="32"/>
          <w:szCs w:val="32"/>
          <w:lang w:val="en-US" w:eastAsia="zh-CN"/>
        </w:rPr>
      </w:pPr>
      <w:r>
        <w:rPr>
          <w:rFonts w:hint="eastAsia" w:ascii="黑体" w:hAnsi="黑体" w:eastAsia="黑体" w:cs="黑体"/>
          <w:b w:val="0"/>
          <w:bCs/>
          <w:kern w:val="0"/>
          <w:sz w:val="32"/>
          <w:szCs w:val="32"/>
          <w:lang w:val="en-US" w:eastAsia="zh-CN"/>
        </w:rPr>
        <w:t>三、申报时间</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color w:val="000000"/>
          <w:kern w:val="0"/>
          <w:sz w:val="32"/>
          <w:szCs w:val="32"/>
          <w:lang w:eastAsia="zh-CN"/>
        </w:rPr>
        <w:t>月度申报时间：</w:t>
      </w:r>
      <w:r>
        <w:rPr>
          <w:rFonts w:hint="eastAsia" w:ascii="仿宋_GB2312" w:hAnsi="仿宋_GB2312" w:eastAsia="仿宋_GB2312" w:cs="仿宋_GB2312"/>
          <w:color w:val="000000"/>
          <w:kern w:val="0"/>
          <w:sz w:val="32"/>
          <w:szCs w:val="32"/>
          <w:lang w:val="en-US" w:eastAsia="zh-CN"/>
        </w:rPr>
        <w:t>新企业(</w:t>
      </w:r>
      <w:r>
        <w:rPr>
          <w:rFonts w:hint="eastAsia" w:ascii="仿宋_GB2312" w:hAnsi="仿宋_GB2312" w:eastAsia="仿宋_GB2312" w:cs="仿宋_GB2312"/>
          <w:color w:val="000000"/>
          <w:kern w:val="0"/>
          <w:sz w:val="32"/>
          <w:szCs w:val="32"/>
          <w:lang w:eastAsia="zh-CN"/>
        </w:rPr>
        <w:t>上</w:t>
      </w:r>
      <w:r>
        <w:rPr>
          <w:rFonts w:hint="eastAsia" w:ascii="仿宋_GB2312" w:hAnsi="仿宋_GB2312" w:eastAsia="仿宋_GB2312" w:cs="仿宋_GB2312"/>
          <w:color w:val="000000"/>
          <w:kern w:val="0"/>
          <w:sz w:val="32"/>
          <w:szCs w:val="32"/>
          <w:lang w:val="en-US" w:eastAsia="zh-CN"/>
        </w:rPr>
        <w:t>年</w:t>
      </w:r>
      <w:r>
        <w:rPr>
          <w:rFonts w:hint="eastAsia" w:ascii="仿宋_GB2312" w:hAnsi="仿宋_GB2312" w:eastAsia="仿宋_GB2312" w:cs="仿宋_GB2312"/>
          <w:color w:val="000000"/>
          <w:kern w:val="0"/>
          <w:sz w:val="32"/>
          <w:szCs w:val="32"/>
          <w:lang w:eastAsia="zh-CN"/>
        </w:rPr>
        <w:t>10</w:t>
      </w:r>
      <w:r>
        <w:rPr>
          <w:rFonts w:hint="eastAsia" w:ascii="仿宋_GB2312" w:hAnsi="仿宋_GB2312" w:eastAsia="仿宋_GB2312" w:cs="仿宋_GB2312"/>
          <w:color w:val="000000"/>
          <w:kern w:val="0"/>
          <w:sz w:val="32"/>
          <w:szCs w:val="32"/>
          <w:lang w:val="en-US" w:eastAsia="zh-CN"/>
        </w:rPr>
        <w:t>月后</w:t>
      </w:r>
      <w:r>
        <w:rPr>
          <w:rFonts w:hint="eastAsia" w:ascii="仿宋_GB2312" w:hAnsi="仿宋_GB2312" w:eastAsia="仿宋_GB2312" w:cs="仿宋_GB2312"/>
          <w:color w:val="000000"/>
          <w:kern w:val="0"/>
          <w:sz w:val="32"/>
          <w:szCs w:val="32"/>
          <w:lang w:eastAsia="zh-CN"/>
        </w:rPr>
        <w:t>开业</w:t>
      </w:r>
      <w:r>
        <w:rPr>
          <w:rFonts w:hint="eastAsia" w:ascii="仿宋_GB2312" w:hAnsi="仿宋_GB2312" w:eastAsia="仿宋_GB2312" w:cs="仿宋_GB2312"/>
          <w:color w:val="000000"/>
          <w:kern w:val="0"/>
          <w:sz w:val="32"/>
          <w:szCs w:val="32"/>
          <w:lang w:val="en-US" w:eastAsia="zh-CN"/>
        </w:rPr>
        <w:t>)在</w:t>
      </w:r>
      <w:r>
        <w:rPr>
          <w:rFonts w:hint="eastAsia" w:ascii="仿宋_GB2312" w:hAnsi="仿宋_GB2312" w:eastAsia="仿宋_GB2312" w:cs="仿宋_GB2312"/>
          <w:color w:val="000000"/>
          <w:kern w:val="0"/>
          <w:sz w:val="32"/>
          <w:szCs w:val="32"/>
          <w:lang w:eastAsia="zh-CN"/>
        </w:rPr>
        <w:t>达标</w:t>
      </w:r>
      <w:r>
        <w:rPr>
          <w:rFonts w:hint="eastAsia" w:ascii="仿宋_GB2312" w:hAnsi="仿宋_GB2312" w:eastAsia="仿宋_GB2312" w:cs="仿宋_GB2312"/>
          <w:color w:val="000000"/>
          <w:kern w:val="0"/>
          <w:sz w:val="32"/>
          <w:szCs w:val="32"/>
          <w:lang w:val="en-US" w:eastAsia="zh-CN"/>
        </w:rPr>
        <w:t>次月</w:t>
      </w:r>
      <w:r>
        <w:rPr>
          <w:rFonts w:hint="eastAsia" w:ascii="仿宋_GB2312" w:hAnsi="仿宋_GB2312" w:eastAsia="仿宋_GB2312" w:cs="仿宋_GB2312"/>
          <w:color w:val="000000"/>
          <w:kern w:val="0"/>
          <w:sz w:val="32"/>
          <w:szCs w:val="32"/>
          <w:lang w:eastAsia="zh-CN"/>
        </w:rPr>
        <w:t>即</w:t>
      </w:r>
      <w:r>
        <w:rPr>
          <w:rFonts w:hint="eastAsia" w:ascii="仿宋_GB2312" w:hAnsi="仿宋_GB2312" w:eastAsia="仿宋_GB2312" w:cs="仿宋_GB2312"/>
          <w:color w:val="000000"/>
          <w:kern w:val="0"/>
          <w:sz w:val="32"/>
          <w:szCs w:val="32"/>
          <w:lang w:val="en-US" w:eastAsia="zh-CN"/>
        </w:rPr>
        <w:t>可申报月度入规</w:t>
      </w:r>
      <w:r>
        <w:rPr>
          <w:rFonts w:hint="eastAsia" w:ascii="仿宋_GB2312" w:hAnsi="仿宋_GB2312" w:eastAsia="仿宋_GB2312" w:cs="仿宋_GB2312"/>
          <w:color w:val="000000"/>
          <w:kern w:val="0"/>
          <w:sz w:val="32"/>
          <w:szCs w:val="32"/>
          <w:lang w:eastAsia="zh-CN"/>
        </w:rPr>
        <w:t>，各县（市、区）1-10月，每月5-27号申报；</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color w:val="000000"/>
          <w:kern w:val="0"/>
          <w:sz w:val="32"/>
          <w:szCs w:val="32"/>
          <w:lang w:eastAsia="zh-CN"/>
        </w:rPr>
        <w:t>年度申报时间：</w:t>
      </w:r>
      <w:r>
        <w:rPr>
          <w:rFonts w:hint="eastAsia" w:ascii="仿宋_GB2312" w:hAnsi="仿宋_GB2312" w:eastAsia="仿宋_GB2312" w:cs="仿宋_GB2312"/>
          <w:color w:val="000000"/>
          <w:kern w:val="0"/>
          <w:sz w:val="32"/>
          <w:szCs w:val="32"/>
          <w:lang w:val="en-US" w:eastAsia="zh-CN"/>
        </w:rPr>
        <w:t>老企业(</w:t>
      </w:r>
      <w:r>
        <w:rPr>
          <w:rFonts w:hint="eastAsia" w:ascii="仿宋_GB2312" w:hAnsi="仿宋_GB2312" w:eastAsia="仿宋_GB2312" w:cs="仿宋_GB2312"/>
          <w:color w:val="000000"/>
          <w:kern w:val="0"/>
          <w:sz w:val="32"/>
          <w:szCs w:val="32"/>
          <w:lang w:eastAsia="zh-CN"/>
        </w:rPr>
        <w:t>上年10月</w:t>
      </w:r>
      <w:r>
        <w:rPr>
          <w:rFonts w:hint="eastAsia" w:ascii="仿宋_GB2312" w:hAnsi="仿宋_GB2312" w:eastAsia="仿宋_GB2312" w:cs="仿宋_GB2312"/>
          <w:color w:val="000000"/>
          <w:kern w:val="0"/>
          <w:sz w:val="32"/>
          <w:szCs w:val="32"/>
          <w:lang w:val="en-US" w:eastAsia="zh-CN"/>
        </w:rPr>
        <w:t>前</w:t>
      </w:r>
      <w:r>
        <w:rPr>
          <w:rFonts w:hint="eastAsia" w:ascii="仿宋_GB2312" w:hAnsi="仿宋_GB2312" w:eastAsia="仿宋_GB2312" w:cs="仿宋_GB2312"/>
          <w:color w:val="000000"/>
          <w:kern w:val="0"/>
          <w:sz w:val="32"/>
          <w:szCs w:val="32"/>
          <w:lang w:eastAsia="zh-CN"/>
        </w:rPr>
        <w:t>开业</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lang w:eastAsia="zh-CN"/>
        </w:rPr>
        <w:t>采取年度入规，每年三次，分别为当年11月、12月及次年1月；</w:t>
      </w:r>
    </w:p>
    <w:p>
      <w:pPr>
        <w:pStyle w:val="8"/>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color w:val="000000"/>
          <w:kern w:val="0"/>
          <w:sz w:val="32"/>
          <w:szCs w:val="32"/>
          <w:lang w:eastAsia="zh-CN"/>
        </w:rPr>
        <w:t>大个体申报时间：分两批，6月前仅限新开业大个体提交申报资料，12月新老大个体均可申报入规。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楷体_GB2312" w:hAnsi="楷体_GB2312" w:eastAsia="楷体_GB2312" w:cs="楷体_GB2312"/>
          <w:b/>
          <w:bCs w:val="0"/>
          <w:kern w:val="0"/>
          <w:sz w:val="32"/>
          <w:szCs w:val="32"/>
          <w:lang w:val="en-US" w:eastAsia="zh-CN"/>
        </w:rPr>
      </w:pPr>
      <w:r>
        <w:rPr>
          <w:rFonts w:hint="eastAsia" w:ascii="黑体" w:hAnsi="黑体" w:eastAsia="黑体" w:cs="黑体"/>
          <w:b w:val="0"/>
          <w:bCs/>
          <w:kern w:val="0"/>
          <w:sz w:val="32"/>
          <w:szCs w:val="32"/>
          <w:lang w:val="en-US" w:eastAsia="zh-CN"/>
        </w:rPr>
        <w:t>四、申报材料</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法人单位：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（一）调查单位年/月度审核登记表（一）；</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营业执照；</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企业经营场地有名称挂牌的入口</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经营</w:t>
      </w:r>
      <w:r>
        <w:rPr>
          <w:rFonts w:hint="eastAsia" w:ascii="仿宋_GB2312" w:hAnsi="仿宋_GB2312" w:eastAsia="仿宋_GB2312" w:cs="仿宋_GB2312"/>
          <w:sz w:val="32"/>
          <w:szCs w:val="32"/>
          <w:lang w:val="en-US" w:eastAsia="zh-CN"/>
        </w:rPr>
        <w:t>现场</w:t>
      </w:r>
      <w:r>
        <w:rPr>
          <w:rFonts w:hint="eastAsia" w:ascii="仿宋_GB2312" w:hAnsi="仿宋_GB2312" w:eastAsia="仿宋_GB2312" w:cs="仿宋_GB2312"/>
          <w:sz w:val="32"/>
          <w:szCs w:val="32"/>
        </w:rPr>
        <w:t>照片；</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US" w:eastAsia="zh-CN"/>
        </w:rPr>
        <w:t>申报前</w:t>
      </w:r>
      <w:r>
        <w:rPr>
          <w:rFonts w:hint="eastAsia" w:ascii="仿宋_GB2312" w:hAnsi="仿宋_GB2312" w:eastAsia="仿宋_GB2312" w:cs="仿宋_GB2312"/>
          <w:sz w:val="32"/>
          <w:szCs w:val="32"/>
        </w:rPr>
        <w:t>1个月《利润表》，若无，则提供前1季度的利润表；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lang w:val="en-US" w:eastAsia="zh-CN"/>
        </w:rPr>
        <w:t>最近一期</w:t>
      </w:r>
      <w:r>
        <w:rPr>
          <w:rFonts w:hint="eastAsia" w:ascii="仿宋_GB2312" w:hAnsi="仿宋_GB2312" w:eastAsia="仿宋_GB2312" w:cs="仿宋_GB2312"/>
          <w:sz w:val="32"/>
          <w:szCs w:val="32"/>
        </w:rPr>
        <w:t>增值税纳税申报表；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lang w:val="en-US" w:eastAsia="zh-CN"/>
        </w:rPr>
        <w:t>因未缴纳增值税而缺少《增值税纳税申报表》或《增值税纳税申报表》无法反映实际经营情况的企业</w:t>
      </w:r>
      <w:r>
        <w:rPr>
          <w:rFonts w:hint="eastAsia" w:ascii="仿宋_GB2312" w:hAnsi="仿宋_GB2312" w:eastAsia="仿宋_GB2312" w:cs="仿宋_GB2312"/>
          <w:sz w:val="32"/>
          <w:szCs w:val="32"/>
          <w:lang w:eastAsia="zh-CN"/>
        </w:rPr>
        <w:t>，按以下要求提供材料：</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1.网上销售企业（行业代码5193或5292）</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（1）所有</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lang w:val="en-US" w:eastAsia="zh-CN"/>
        </w:rPr>
        <w:t>店铺名称</w:t>
      </w:r>
      <w:r>
        <w:rPr>
          <w:rFonts w:hint="eastAsia" w:ascii="仿宋_GB2312" w:hAnsi="仿宋_GB2312" w:eastAsia="仿宋_GB2312" w:cs="仿宋_GB2312"/>
          <w:sz w:val="32"/>
          <w:szCs w:val="32"/>
          <w:lang w:eastAsia="zh-CN"/>
        </w:rPr>
        <w:t>、所在平台及</w:t>
      </w:r>
      <w:r>
        <w:rPr>
          <w:rFonts w:hint="eastAsia" w:ascii="仿宋_GB2312" w:hAnsi="仿宋_GB2312" w:eastAsia="仿宋_GB2312" w:cs="仿宋_GB2312"/>
          <w:sz w:val="32"/>
          <w:szCs w:val="32"/>
          <w:lang w:val="en-US" w:eastAsia="zh-CN"/>
        </w:rPr>
        <w:t>后台卖家信息截图</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（2）后台真实交易记录月度数据整屏截图</w:t>
      </w:r>
      <w:r>
        <w:rPr>
          <w:rFonts w:hint="eastAsia" w:ascii="仿宋_GB2312" w:hAnsi="仿宋_GB2312" w:eastAsia="仿宋_GB2312" w:cs="仿宋_GB2312"/>
          <w:sz w:val="32"/>
          <w:szCs w:val="32"/>
          <w:lang w:eastAsia="zh-CN"/>
        </w:rPr>
        <w:t>及数据表格；</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（3）业务管理系统说明</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（4）网上销售以外的其他企业</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2.业务管理系统说明</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3.业务管理系统实际累计交易数据整屏截图</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产业活动单位：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调查单位年/月度审核登记表（一）</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营业执照</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企业经营场地有名称挂牌的入口</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经营</w:t>
      </w:r>
      <w:r>
        <w:rPr>
          <w:rFonts w:hint="eastAsia" w:ascii="仿宋_GB2312" w:hAnsi="仿宋_GB2312" w:eastAsia="仿宋_GB2312" w:cs="仿宋_GB2312"/>
          <w:sz w:val="32"/>
          <w:szCs w:val="32"/>
          <w:lang w:val="en-US" w:eastAsia="zh-CN"/>
        </w:rPr>
        <w:t>现场</w:t>
      </w:r>
      <w:r>
        <w:rPr>
          <w:rFonts w:hint="eastAsia" w:ascii="仿宋_GB2312" w:hAnsi="仿宋_GB2312" w:eastAsia="仿宋_GB2312" w:cs="仿宋_GB2312"/>
          <w:sz w:val="32"/>
          <w:szCs w:val="32"/>
        </w:rPr>
        <w:t>照片；</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US" w:eastAsia="zh-CN"/>
        </w:rPr>
        <w:t>申报前</w:t>
      </w:r>
      <w:r>
        <w:rPr>
          <w:rFonts w:hint="eastAsia" w:ascii="仿宋_GB2312" w:hAnsi="仿宋_GB2312" w:eastAsia="仿宋_GB2312" w:cs="仿宋_GB2312"/>
          <w:sz w:val="32"/>
          <w:szCs w:val="32"/>
        </w:rPr>
        <w:t>1个月《利润表》，若无，则提供前1季度的利润表；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lang w:val="en-US" w:eastAsia="zh-CN"/>
        </w:rPr>
        <w:t>最近连续3个月的《批发和零售业产业活动单位（个体经营户）商品销售和库存》（E204-3表）或者最近连续3个月的《住宿和餐饮业产业活动单位（个体经营户）经营情况》（S204-3表）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lang w:val="en-US" w:eastAsia="zh-CN"/>
        </w:rPr>
        <w:t>情况说明（包含法产单位关系及业务系统情况）</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lang w:val="en-US" w:eastAsia="zh-CN"/>
        </w:rPr>
        <w:t>业务</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lang w:val="en-US" w:eastAsia="zh-CN"/>
        </w:rPr>
        <w:t>系统</w:t>
      </w:r>
      <w:r>
        <w:rPr>
          <w:rFonts w:hint="eastAsia" w:ascii="仿宋_GB2312" w:hAnsi="仿宋_GB2312" w:eastAsia="仿宋_GB2312" w:cs="仿宋_GB2312"/>
          <w:sz w:val="32"/>
          <w:szCs w:val="32"/>
          <w:lang w:eastAsia="zh-CN"/>
        </w:rPr>
        <w:t>整屏</w:t>
      </w:r>
      <w:r>
        <w:rPr>
          <w:rFonts w:hint="eastAsia" w:ascii="仿宋_GB2312" w:hAnsi="仿宋_GB2312" w:eastAsia="仿宋_GB2312" w:cs="仿宋_GB2312"/>
          <w:sz w:val="32"/>
          <w:szCs w:val="32"/>
          <w:lang w:val="en-US" w:eastAsia="zh-CN"/>
        </w:rPr>
        <w:t>截图。</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大</w:t>
      </w:r>
      <w:r>
        <w:rPr>
          <w:rFonts w:hint="eastAsia" w:ascii="仿宋_GB2312" w:hAnsi="仿宋_GB2312" w:eastAsia="仿宋_GB2312" w:cs="仿宋_GB2312"/>
          <w:b/>
          <w:bCs/>
          <w:sz w:val="32"/>
          <w:szCs w:val="32"/>
          <w:lang w:val="en-US" w:eastAsia="zh-CN"/>
        </w:rPr>
        <w:t>个体户：</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营业执照</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最近连续3个月的经营情况表（E204-3表或S204-3表）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val="en-US" w:eastAsia="zh-CN"/>
        </w:rPr>
        <w:t>截至申报期最近1个月的增值税纳税申报表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US" w:eastAsia="zh-CN"/>
        </w:rPr>
        <w:t>业务管理系统说明</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lang w:val="en-US" w:eastAsia="zh-CN"/>
        </w:rPr>
        <w:t>最近连续3个月的业务管理系统</w:t>
      </w:r>
      <w:r>
        <w:rPr>
          <w:rFonts w:hint="eastAsia" w:ascii="仿宋_GB2312" w:hAnsi="仿宋_GB2312" w:eastAsia="仿宋_GB2312" w:cs="仿宋_GB2312"/>
          <w:sz w:val="32"/>
          <w:szCs w:val="32"/>
          <w:lang w:eastAsia="zh-CN"/>
        </w:rPr>
        <w:t>整屏</w:t>
      </w:r>
      <w:r>
        <w:rPr>
          <w:rFonts w:hint="eastAsia" w:ascii="仿宋_GB2312" w:hAnsi="仿宋_GB2312" w:eastAsia="仿宋_GB2312" w:cs="仿宋_GB2312"/>
          <w:sz w:val="32"/>
          <w:szCs w:val="32"/>
          <w:lang w:val="en-US" w:eastAsia="zh-CN"/>
        </w:rPr>
        <w:t>截图</w:t>
      </w:r>
      <w:r>
        <w:rPr>
          <w:rFonts w:hint="eastAsia" w:ascii="仿宋_GB2312" w:hAnsi="仿宋_GB2312" w:eastAsia="仿宋_GB2312" w:cs="仿宋_GB2312"/>
          <w:sz w:val="32"/>
          <w:szCs w:val="32"/>
          <w:lang w:eastAsia="zh-CN"/>
        </w:rPr>
        <w:t>，及截止到当前全年</w:t>
      </w:r>
      <w:r>
        <w:rPr>
          <w:rFonts w:hint="eastAsia" w:ascii="仿宋_GB2312" w:hAnsi="仿宋_GB2312" w:eastAsia="仿宋_GB2312" w:cs="仿宋_GB2312"/>
          <w:sz w:val="32"/>
          <w:szCs w:val="32"/>
          <w:lang w:val="en-US" w:eastAsia="zh-CN"/>
        </w:rPr>
        <w:t>累计交易数据整屏截图</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楷体_GB2312" w:hAnsi="楷体_GB2312" w:eastAsia="楷体_GB2312" w:cs="楷体_GB2312"/>
          <w:b/>
          <w:bCs w:val="0"/>
          <w:kern w:val="0"/>
          <w:sz w:val="32"/>
          <w:szCs w:val="32"/>
          <w:lang w:val="en-US" w:eastAsia="zh-CN"/>
        </w:rPr>
      </w:pPr>
      <w:r>
        <w:rPr>
          <w:rFonts w:hint="eastAsia" w:ascii="黑体" w:hAnsi="黑体" w:eastAsia="黑体" w:cs="黑体"/>
          <w:b w:val="0"/>
          <w:bCs/>
          <w:kern w:val="0"/>
          <w:sz w:val="32"/>
          <w:szCs w:val="32"/>
          <w:lang w:val="en-US" w:eastAsia="zh-CN"/>
        </w:rPr>
        <w:t>五、注意事项</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（一）所有材料均需加盖企业公章；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利润表累计营收</w:t>
      </w:r>
      <w:r>
        <w:rPr>
          <w:rFonts w:hint="eastAsia" w:ascii="仿宋_GB2312" w:hAnsi="仿宋_GB2312" w:eastAsia="仿宋_GB2312" w:cs="仿宋_GB2312"/>
          <w:sz w:val="32"/>
          <w:szCs w:val="32"/>
          <w:lang w:eastAsia="zh-CN"/>
        </w:rPr>
        <w:t>如</w:t>
      </w:r>
      <w:r>
        <w:rPr>
          <w:rFonts w:hint="eastAsia" w:ascii="仿宋_GB2312" w:hAnsi="仿宋_GB2312" w:eastAsia="仿宋_GB2312" w:cs="仿宋_GB2312"/>
          <w:sz w:val="32"/>
          <w:szCs w:val="32"/>
          <w:lang w:val="en-US" w:eastAsia="zh-CN"/>
        </w:rPr>
        <w:t>与纳税申报表应税销售额（收银系统累计营业额）不一致，需出具情况说明</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kern w:val="2"/>
          <w:sz w:val="32"/>
          <w:szCs w:val="32"/>
          <w:lang w:eastAsia="zh-CN" w:bidi="ar-SA"/>
        </w:rPr>
      </w:pPr>
      <w:r>
        <w:rPr>
          <w:rFonts w:hint="eastAsia" w:ascii="仿宋_GB2312" w:hAnsi="仿宋_GB2312" w:eastAsia="仿宋_GB2312" w:cs="仿宋_GB2312"/>
          <w:sz w:val="32"/>
          <w:szCs w:val="32"/>
          <w:lang w:eastAsia="zh-CN"/>
        </w:rPr>
        <w:t>（三）产活单位入规可不提供纳税表</w:t>
      </w:r>
      <w:r>
        <w:rPr>
          <w:rFonts w:hint="eastAsia" w:ascii="仿宋_GB2312" w:hAnsi="仿宋_GB2312" w:eastAsia="仿宋_GB2312" w:cs="仿宋_GB2312"/>
          <w:kern w:val="2"/>
          <w:sz w:val="32"/>
          <w:szCs w:val="32"/>
          <w:lang w:val="en-US" w:eastAsia="zh-CN" w:bidi="ar-SA"/>
        </w:rPr>
        <w:t>，如提供，需提供</w:t>
      </w:r>
      <w:r>
        <w:rPr>
          <w:rFonts w:hint="eastAsia" w:ascii="仿宋_GB2312" w:hAnsi="仿宋_GB2312" w:eastAsia="仿宋_GB2312" w:cs="仿宋_GB2312"/>
          <w:kern w:val="2"/>
          <w:sz w:val="32"/>
          <w:szCs w:val="32"/>
          <w:lang w:eastAsia="zh-CN" w:bidi="ar-SA"/>
        </w:rPr>
        <w:t>产活</w:t>
      </w:r>
      <w:r>
        <w:rPr>
          <w:rFonts w:hint="eastAsia" w:ascii="仿宋_GB2312" w:hAnsi="仿宋_GB2312" w:eastAsia="仿宋_GB2312" w:cs="仿宋_GB2312"/>
          <w:kern w:val="2"/>
          <w:sz w:val="32"/>
          <w:szCs w:val="32"/>
          <w:lang w:val="en-US" w:eastAsia="zh-CN" w:bidi="ar-SA"/>
        </w:rPr>
        <w:t>单位自身的纳税表</w:t>
      </w:r>
      <w:r>
        <w:rPr>
          <w:rFonts w:hint="eastAsia" w:ascii="仿宋_GB2312" w:hAnsi="仿宋_GB2312" w:eastAsia="仿宋_GB2312" w:cs="仿宋_GB2312"/>
          <w:kern w:val="2"/>
          <w:sz w:val="32"/>
          <w:szCs w:val="32"/>
          <w:lang w:eastAsia="zh-CN" w:bidi="ar-SA"/>
        </w:rPr>
        <w:t>，</w:t>
      </w:r>
      <w:r>
        <w:rPr>
          <w:rFonts w:hint="eastAsia" w:ascii="仿宋_GB2312" w:hAnsi="仿宋_GB2312" w:eastAsia="仿宋_GB2312" w:cs="仿宋_GB2312"/>
          <w:kern w:val="2"/>
          <w:sz w:val="32"/>
          <w:szCs w:val="32"/>
          <w:lang w:val="en-US" w:eastAsia="zh-CN" w:bidi="ar-SA"/>
        </w:rPr>
        <w:t>提供总公司纳税表的则需附相关情况说明</w:t>
      </w:r>
      <w:r>
        <w:rPr>
          <w:rFonts w:hint="eastAsia" w:ascii="仿宋_GB2312" w:hAnsi="仿宋_GB2312" w:eastAsia="仿宋_GB2312" w:cs="仿宋_GB2312"/>
          <w:kern w:val="2"/>
          <w:sz w:val="32"/>
          <w:szCs w:val="32"/>
          <w:lang w:eastAsia="zh-CN" w:bidi="ar-SA"/>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（四）业务系统名称一定要与企业营业执照名称一致；</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（五）业务系统截图要标注出单位名称、日期、数据来源及营收，用亮色标出上传；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（六）所有截图（业务系统）均要整屏；</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（七）开业时间佐证，一般以营业执照上的注册时间为准，也可以以第一个月纳税申报表为证，纳税表当月数需与累计数相等，还可以提供开业当天的照片，照片上需有时间；</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（八）二手车企入规须是纳税达限企业，能提供进账和出账发票；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sz w:val="32"/>
          <w:szCs w:val="32"/>
          <w:lang w:eastAsia="zh-CN"/>
        </w:rPr>
        <w:t>（九）执行企业会计准则的农民专业合作社等入规，还需提供在税务部门备案的财务会计制度报告书复印件，或加盖单位公章的执行会计准则制度情况说明。</w:t>
      </w:r>
    </w:p>
    <w:p>
      <w:pPr>
        <w:pStyle w:val="5"/>
        <w:keepNext w:val="0"/>
        <w:keepLines w:val="0"/>
        <w:pageBreakBefore w:val="0"/>
        <w:kinsoku/>
        <w:wordWrap/>
        <w:overflowPunct/>
        <w:topLinePunct w:val="0"/>
        <w:autoSpaceDE/>
        <w:autoSpaceDN/>
        <w:bidi w:val="0"/>
        <w:adjustRightInd/>
        <w:snapToGrid/>
        <w:spacing w:after="0" w:line="560" w:lineRule="exact"/>
        <w:ind w:left="0" w:leftChars="0"/>
        <w:jc w:val="left"/>
        <w:textAlignment w:val="auto"/>
        <w:rPr>
          <w:rFonts w:hint="eastAsia" w:ascii="仿宋_GB2312" w:hAnsi="仿宋_GB2312" w:eastAsia="仿宋_GB2312" w:cs="仿宋_GB2312"/>
          <w:b/>
          <w:bCs/>
          <w:i w:val="0"/>
          <w:iCs w:val="0"/>
          <w:sz w:val="32"/>
          <w:szCs w:val="32"/>
          <w:highlight w:val="none"/>
          <w:lang w:val="en-US" w:eastAsia="zh-CN"/>
        </w:rPr>
      </w:pPr>
      <w:r>
        <w:rPr>
          <w:rFonts w:hint="eastAsia" w:ascii="仿宋_GB2312" w:hAnsi="仿宋_GB2312" w:eastAsia="仿宋_GB2312" w:cs="仿宋_GB2312"/>
          <w:b/>
          <w:bCs/>
          <w:i w:val="0"/>
          <w:iCs w:val="0"/>
          <w:sz w:val="32"/>
          <w:szCs w:val="32"/>
          <w:highlight w:val="none"/>
          <w:lang w:val="en-US" w:eastAsia="zh-CN"/>
        </w:rPr>
        <w:t>附件2：</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hAnsi="仿宋_GB2312" w:eastAsia="仿宋_GB2312" w:cs="仿宋_GB2312"/>
          <w:i w:val="0"/>
          <w:iCs w:val="0"/>
          <w:sz w:val="32"/>
          <w:szCs w:val="32"/>
          <w:highlight w:val="none"/>
          <w:lang w:val="en-US" w:eastAsia="zh-CN"/>
        </w:rPr>
      </w:pPr>
      <w:r>
        <w:rPr>
          <w:rFonts w:hint="eastAsia" w:ascii="方正小标宋简体" w:hAnsi="方正小标宋简体" w:eastAsia="方正小标宋简体" w:cs="方正小标宋简体"/>
          <w:i w:val="0"/>
          <w:iCs w:val="0"/>
          <w:sz w:val="44"/>
          <w:szCs w:val="44"/>
          <w:highlight w:val="none"/>
          <w:lang w:val="en-US" w:eastAsia="zh-CN"/>
        </w:rPr>
        <w:t>2024年全县限额以上商贸企业入规目标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3034"/>
        <w:gridCol w:w="3360"/>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i w:val="0"/>
                <w:iCs w:val="0"/>
                <w:sz w:val="32"/>
                <w:szCs w:val="32"/>
                <w:highlight w:val="none"/>
                <w:vertAlign w:val="baseline"/>
                <w:lang w:val="en-US" w:eastAsia="zh-CN"/>
              </w:rPr>
              <w:t>序号</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i w:val="0"/>
                <w:iCs w:val="0"/>
                <w:sz w:val="32"/>
                <w:szCs w:val="32"/>
                <w:highlight w:val="none"/>
                <w:vertAlign w:val="baseline"/>
                <w:lang w:val="en-US" w:eastAsia="zh-CN"/>
              </w:rPr>
              <w:t>责任单位</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i w:val="0"/>
                <w:iCs w:val="0"/>
                <w:sz w:val="32"/>
                <w:szCs w:val="32"/>
                <w:highlight w:val="none"/>
                <w:vertAlign w:val="baseline"/>
                <w:lang w:val="en-US" w:eastAsia="zh-CN"/>
              </w:rPr>
              <w:t>协助单位</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i w:val="0"/>
                <w:iCs w:val="0"/>
                <w:sz w:val="32"/>
                <w:szCs w:val="32"/>
                <w:highlight w:val="none"/>
                <w:vertAlign w:val="baseline"/>
                <w:lang w:val="en-US" w:eastAsia="zh-CN"/>
              </w:rPr>
              <w:t>目标数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1</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县商务局</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2</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池江镇</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3</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新城镇</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4</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青龙镇</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5</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县教科体局</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6</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县城发集团</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7</w:t>
            </w:r>
          </w:p>
        </w:tc>
        <w:tc>
          <w:tcPr>
            <w:tcW w:w="3034"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县市场监督管理局</w:t>
            </w:r>
          </w:p>
        </w:tc>
        <w:tc>
          <w:tcPr>
            <w:tcW w:w="3360"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宋体" w:eastAsia="仿宋_GB2312" w:cs="仿宋_GB2312"/>
                <w:i w:val="0"/>
                <w:color w:val="000000"/>
                <w:kern w:val="0"/>
                <w:sz w:val="32"/>
                <w:szCs w:val="32"/>
                <w:u w:val="none"/>
                <w:lang w:val="en-US" w:eastAsia="zh-CN"/>
              </w:rPr>
              <w:t>县商务局、县统计局</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default"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03" w:type="dxa"/>
            <w:gridSpan w:val="3"/>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eastAsia"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合计</w:t>
            </w:r>
          </w:p>
        </w:tc>
        <w:tc>
          <w:tcPr>
            <w:tcW w:w="1739" w:type="dxa"/>
            <w:vAlign w:val="center"/>
          </w:tcPr>
          <w:p>
            <w:pPr>
              <w:pStyle w:val="5"/>
              <w:keepNext w:val="0"/>
              <w:keepLines w:val="0"/>
              <w:pageBreakBefore w:val="0"/>
              <w:kinsoku/>
              <w:wordWrap/>
              <w:overflowPunct/>
              <w:topLinePunct w:val="0"/>
              <w:autoSpaceDE/>
              <w:autoSpaceDN/>
              <w:bidi w:val="0"/>
              <w:adjustRightInd/>
              <w:snapToGrid/>
              <w:spacing w:after="0" w:line="560" w:lineRule="exact"/>
              <w:ind w:left="0" w:leftChars="0"/>
              <w:jc w:val="center"/>
              <w:textAlignment w:val="auto"/>
              <w:rPr>
                <w:rFonts w:hint="default" w:ascii="仿宋_GB2312" w:hAnsi="仿宋_GB2312" w:eastAsia="仿宋_GB2312" w:cs="仿宋_GB2312"/>
                <w:i w:val="0"/>
                <w:iCs w:val="0"/>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vertAlign w:val="baseline"/>
                <w:lang w:val="en-US" w:eastAsia="zh-CN"/>
              </w:rPr>
              <w:t>20</w:t>
            </w:r>
          </w:p>
        </w:tc>
      </w:tr>
    </w:tbl>
    <w:p>
      <w:pPr>
        <w:pStyle w:val="5"/>
        <w:keepNext w:val="0"/>
        <w:keepLines w:val="0"/>
        <w:pageBreakBefore w:val="0"/>
        <w:kinsoku/>
        <w:wordWrap/>
        <w:overflowPunct/>
        <w:topLinePunct w:val="0"/>
        <w:autoSpaceDE/>
        <w:autoSpaceDN/>
        <w:bidi w:val="0"/>
        <w:adjustRightInd/>
        <w:snapToGrid/>
        <w:spacing w:after="0" w:line="560" w:lineRule="exact"/>
        <w:ind w:left="0" w:leftChars="0"/>
        <w:textAlignment w:val="auto"/>
        <w:rPr>
          <w:rFonts w:hint="eastAsia" w:ascii="仿宋_GB2312" w:hAnsi="仿宋_GB2312" w:eastAsia="仿宋_GB2312" w:cs="仿宋_GB2312"/>
          <w:i w:val="0"/>
          <w:iCs w:val="0"/>
          <w:sz w:val="32"/>
          <w:szCs w:val="32"/>
          <w:highlight w:val="none"/>
          <w:lang w:val="en-US" w:eastAsia="zh-CN"/>
        </w:rPr>
      </w:pPr>
    </w:p>
    <w:p>
      <w:pPr>
        <w:pStyle w:val="2"/>
        <w:keepNext w:val="0"/>
        <w:keepLines w:val="0"/>
        <w:pageBreakBefore w:val="0"/>
        <w:kinsoku/>
        <w:wordWrap/>
        <w:overflowPunct/>
        <w:topLinePunct w:val="0"/>
        <w:autoSpaceDE/>
        <w:autoSpaceDN/>
        <w:bidi w:val="0"/>
        <w:adjustRightInd/>
        <w:snapToGrid/>
        <w:spacing w:after="0" w:line="560" w:lineRule="exact"/>
        <w:ind w:left="0" w:leftChars="0"/>
        <w:textAlignment w:val="auto"/>
        <w:rPr>
          <w:rFonts w:hint="default"/>
          <w:lang w:val="en-US" w:eastAsia="zh-CN"/>
        </w:rPr>
      </w:pPr>
    </w:p>
    <w:p>
      <w:pPr>
        <w:pStyle w:val="3"/>
        <w:keepNext w:val="0"/>
        <w:keepLines w:val="0"/>
        <w:pageBreakBefore w:val="0"/>
        <w:kinsoku/>
        <w:wordWrap/>
        <w:overflowPunct/>
        <w:topLinePunct w:val="0"/>
        <w:autoSpaceDE/>
        <w:autoSpaceDN/>
        <w:bidi w:val="0"/>
        <w:adjustRightInd/>
        <w:snapToGrid/>
        <w:spacing w:line="560" w:lineRule="exact"/>
        <w:ind w:left="0" w:leftChars="0"/>
        <w:textAlignment w:val="auto"/>
        <w:rPr>
          <w:rFonts w:hint="default"/>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default"/>
          <w:lang w:val="en-US" w:eastAsia="zh-CN"/>
        </w:rPr>
      </w:pPr>
    </w:p>
    <w:p>
      <w:pPr>
        <w:pStyle w:val="2"/>
        <w:keepNext w:val="0"/>
        <w:keepLines w:val="0"/>
        <w:pageBreakBefore w:val="0"/>
        <w:kinsoku/>
        <w:wordWrap/>
        <w:overflowPunct/>
        <w:topLinePunct w:val="0"/>
        <w:autoSpaceDE/>
        <w:autoSpaceDN/>
        <w:bidi w:val="0"/>
        <w:adjustRightInd/>
        <w:snapToGrid/>
        <w:spacing w:after="0" w:line="560" w:lineRule="exact"/>
        <w:ind w:left="0" w:leftChars="0"/>
        <w:textAlignment w:val="auto"/>
        <w:rPr>
          <w:rFonts w:hint="default"/>
          <w:lang w:val="en-US" w:eastAsia="zh-CN"/>
        </w:rPr>
      </w:pPr>
    </w:p>
    <w:sectPr>
      <w:footerReference r:id="rId4" w:type="default"/>
      <w:pgSz w:w="11906" w:h="16838"/>
      <w:pgMar w:top="1800" w:right="1440" w:bottom="1800" w:left="1440" w:header="850" w:footer="1701" w:gutter="0"/>
      <w:lnNumType w:countBy="0" w:restart="continuous"/>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imbus Roman No9 L">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2M2RmMTdmOTU0OTI5NzY3NDA4ZmE3NDg2MGFjZTkifQ=="/>
    <w:docVar w:name="KSO_WPS_MARK_KEY" w:val="de4b9c0a-b12b-457d-9f30-4fbc0504aef3"/>
  </w:docVars>
  <w:rsids>
    <w:rsidRoot w:val="00000000"/>
    <w:rsid w:val="00E91736"/>
    <w:rsid w:val="036A4D86"/>
    <w:rsid w:val="107C0AD5"/>
    <w:rsid w:val="1C1D09E2"/>
    <w:rsid w:val="1DB45265"/>
    <w:rsid w:val="209D2ACD"/>
    <w:rsid w:val="21AD4F92"/>
    <w:rsid w:val="2503677B"/>
    <w:rsid w:val="2A8461E7"/>
    <w:rsid w:val="2C70553A"/>
    <w:rsid w:val="2CB266F9"/>
    <w:rsid w:val="2F4800A8"/>
    <w:rsid w:val="32ED1692"/>
    <w:rsid w:val="34926E9F"/>
    <w:rsid w:val="37411FAD"/>
    <w:rsid w:val="39EC1146"/>
    <w:rsid w:val="3A970ABF"/>
    <w:rsid w:val="3B685E18"/>
    <w:rsid w:val="3C7A1EC3"/>
    <w:rsid w:val="3FDF6807"/>
    <w:rsid w:val="40F379A1"/>
    <w:rsid w:val="428E047B"/>
    <w:rsid w:val="45290354"/>
    <w:rsid w:val="468858A7"/>
    <w:rsid w:val="4BD4783B"/>
    <w:rsid w:val="51D64190"/>
    <w:rsid w:val="53FD690A"/>
    <w:rsid w:val="574B4A5F"/>
    <w:rsid w:val="5CFB0A4B"/>
    <w:rsid w:val="644D392E"/>
    <w:rsid w:val="669B4986"/>
    <w:rsid w:val="7238149B"/>
    <w:rsid w:val="72FD4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8">
    <w:name w:val="Default Paragraph Font"/>
    <w:qFormat/>
    <w:uiPriority w:val="0"/>
  </w:style>
  <w:style w:type="table" w:default="1" w:styleId="9">
    <w:name w:val="Normal Table"/>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Normal Indent"/>
    <w:basedOn w:val="1"/>
    <w:next w:val="1"/>
    <w:qFormat/>
    <w:uiPriority w:val="99"/>
    <w:pPr>
      <w:ind w:firstLine="420" w:firstLineChars="200"/>
    </w:pPr>
  </w:style>
  <w:style w:type="paragraph" w:styleId="4">
    <w:name w:val="index 5"/>
    <w:basedOn w:val="1"/>
    <w:next w:val="1"/>
    <w:qFormat/>
    <w:uiPriority w:val="0"/>
    <w:pPr>
      <w:ind w:left="1680"/>
    </w:pPr>
    <w:rPr>
      <w:rFonts w:ascii="Times New Roman" w:hAnsi="Times New Roman" w:eastAsia="宋体" w:cs="Times New Roman"/>
    </w:rPr>
  </w:style>
  <w:style w:type="paragraph" w:styleId="5">
    <w:name w:val="Body Text"/>
    <w:basedOn w:val="1"/>
    <w:next w:val="1"/>
    <w:qFormat/>
    <w:uiPriority w:val="0"/>
    <w:pPr>
      <w:spacing w:after="120" w:afterAutospacing="0"/>
    </w:pPr>
  </w:style>
  <w:style w:type="paragraph" w:styleId="6">
    <w:name w:val="footer"/>
    <w:basedOn w:val="1"/>
    <w:next w:val="4"/>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2"/>
    <w:next w:val="1"/>
    <w:qFormat/>
    <w:uiPriority w:val="0"/>
    <w:pPr>
      <w:widowControl w:val="0"/>
      <w:spacing w:after="120"/>
      <w:ind w:left="200" w:leftChars="200" w:firstLine="200" w:firstLineChars="200"/>
      <w:jc w:val="both"/>
    </w:pPr>
    <w:rPr>
      <w:rFonts w:ascii="Calibri" w:hAnsi="Calibri"/>
      <w:kern w:val="2"/>
      <w:sz w:val="21"/>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name w:val="Medium Grid 3"/>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12">
    <w:name w:val="Medium Grid 3 Accent 1"/>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13">
    <w:name w:val="Medium Grid 3 Accent 2"/>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14">
    <w:name w:val="Medium Grid 3 Accent 3"/>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5">
    <w:name w:val="Medium Grid 3 Accent 4"/>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6">
    <w:name w:val="Medium Grid 3 Accent 5"/>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7">
    <w:name w:val="Medium Grid 3 Accent 6"/>
    <w:basedOn w:val="9"/>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19">
    <w:name w:val="Strong"/>
    <w:basedOn w:val="18"/>
    <w:qFormat/>
    <w:uiPriority w:val="0"/>
    <w:rPr>
      <w:rFonts w:ascii="Times New Roman" w:hAnsi="Times New Roman" w:eastAsia="宋体" w:cs="Times New Roman"/>
      <w:b/>
    </w:rPr>
  </w:style>
  <w:style w:type="character" w:customStyle="1" w:styleId="20">
    <w:name w:val="15"/>
    <w:basedOn w:val="18"/>
    <w:qFormat/>
    <w:uiPriority w:val="0"/>
    <w:rPr>
      <w:rFonts w:hint="default" w:ascii="Calibri" w:hAnsi="Calibri" w:eastAsia="宋体" w:cs="Times New Roman"/>
    </w:rPr>
  </w:style>
  <w:style w:type="character" w:customStyle="1" w:styleId="21">
    <w:name w:val="font51"/>
    <w:basedOn w:val="18"/>
    <w:qFormat/>
    <w:uiPriority w:val="0"/>
    <w:rPr>
      <w:rFonts w:hint="eastAsia" w:ascii="宋体" w:hAnsi="宋体" w:eastAsia="宋体" w:cs="宋体"/>
      <w:color w:val="000000"/>
      <w:sz w:val="21"/>
      <w:szCs w:val="21"/>
      <w:u w:val="none"/>
    </w:rPr>
  </w:style>
  <w:style w:type="character" w:customStyle="1" w:styleId="22">
    <w:name w:val="font121"/>
    <w:basedOn w:val="18"/>
    <w:qFormat/>
    <w:uiPriority w:val="0"/>
    <w:rPr>
      <w:rFonts w:hint="eastAsia" w:ascii="黑体" w:hAnsi="宋体" w:eastAsia="黑体" w:cs="黑体"/>
      <w:color w:val="000000"/>
      <w:sz w:val="32"/>
      <w:szCs w:val="32"/>
      <w:u w:val="none"/>
    </w:rPr>
  </w:style>
  <w:style w:type="character" w:customStyle="1" w:styleId="23">
    <w:name w:val="font13"/>
    <w:basedOn w:val="18"/>
    <w:qFormat/>
    <w:uiPriority w:val="0"/>
    <w:rPr>
      <w:rFonts w:hint="eastAsia" w:ascii="仿宋_GB2312" w:eastAsia="仿宋_GB2312" w:cs="仿宋_GB2312"/>
      <w:color w:val="000000"/>
      <w:sz w:val="32"/>
      <w:szCs w:val="32"/>
      <w:u w:val="none"/>
    </w:rPr>
  </w:style>
  <w:style w:type="character" w:customStyle="1" w:styleId="24">
    <w:name w:val="font161"/>
    <w:basedOn w:val="18"/>
    <w:qFormat/>
    <w:uiPriority w:val="0"/>
    <w:rPr>
      <w:rFonts w:hint="eastAsia" w:ascii="宋体" w:hAnsi="宋体" w:eastAsia="宋体" w:cs="宋体"/>
      <w:color w:val="000000"/>
      <w:sz w:val="32"/>
      <w:szCs w:val="32"/>
      <w:u w:val="none"/>
    </w:rPr>
  </w:style>
  <w:style w:type="character" w:customStyle="1" w:styleId="25">
    <w:name w:val="font01"/>
    <w:basedOn w:val="18"/>
    <w:qFormat/>
    <w:uiPriority w:val="0"/>
    <w:rPr>
      <w:rFonts w:hint="eastAsia" w:ascii="仿宋_GB2312" w:eastAsia="仿宋_GB2312" w:cs="仿宋_GB2312"/>
      <w:b/>
      <w:color w:val="000000"/>
      <w:sz w:val="32"/>
      <w:szCs w:val="32"/>
      <w:u w:val="none"/>
    </w:rPr>
  </w:style>
  <w:style w:type="character" w:customStyle="1" w:styleId="26">
    <w:name w:val="font61"/>
    <w:basedOn w:val="18"/>
    <w:qFormat/>
    <w:uiPriority w:val="0"/>
    <w:rPr>
      <w:rFonts w:hint="eastAsia" w:ascii="宋体" w:hAnsi="宋体" w:eastAsia="宋体" w:cs="宋体"/>
      <w:b/>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2583</Words>
  <Characters>2649</Characters>
  <Paragraphs>949</Paragraphs>
  <TotalTime>6</TotalTime>
  <ScaleCrop>false</ScaleCrop>
  <LinksUpToDate>false</LinksUpToDate>
  <CharactersWithSpaces>2651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2024-03-22T09:24:00Z</dcterms:created>
  <dc:creator>呼呵</dc:creator>
  <cp:lastModifiedBy>雏菊</cp:lastModifiedBy>
  <cp:lastPrinted>2024-06-11T06:51:00Z</cp:lastPrinted>
  <dcterms:modified xsi:type="dcterms:W3CDTF">2024-06-13T08:14:44Z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B9DE9DD620CD41BB82D590CABC302030_13</vt:lpwstr>
  </property>
</Properties>
</file>