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CellMar>
          <w:top w:w="15" w:type="dxa"/>
          <w:left w:w="15" w:type="dxa"/>
          <w:bottom w:w="15" w:type="dxa"/>
          <w:right w:w="15" w:type="dxa"/>
        </w:tblCellMar>
        <w:tblLook w:val="04A0"/>
      </w:tblPr>
      <w:tblGrid>
        <w:gridCol w:w="675"/>
        <w:gridCol w:w="786"/>
        <w:gridCol w:w="964"/>
        <w:gridCol w:w="1273"/>
        <w:gridCol w:w="3022"/>
        <w:gridCol w:w="908"/>
        <w:gridCol w:w="708"/>
      </w:tblGrid>
      <w:tr w:rsidR="001309FF">
        <w:trPr>
          <w:trHeight w:val="420"/>
        </w:trPr>
        <w:tc>
          <w:tcPr>
            <w:tcW w:w="675" w:type="dxa"/>
            <w:vAlign w:val="center"/>
          </w:tcPr>
          <w:p w:rsidR="001309FF" w:rsidRDefault="00972CFD">
            <w:pPr>
              <w:widowControl/>
              <w:jc w:val="left"/>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附件</w:t>
            </w:r>
            <w:r>
              <w:rPr>
                <w:rFonts w:ascii="黑体" w:eastAsia="黑体" w:hAnsi="宋体" w:cs="黑体" w:hint="eastAsia"/>
                <w:color w:val="000000"/>
                <w:kern w:val="0"/>
                <w:sz w:val="22"/>
                <w:szCs w:val="22"/>
                <w:lang/>
              </w:rPr>
              <w:t>3-2</w:t>
            </w:r>
          </w:p>
        </w:tc>
        <w:tc>
          <w:tcPr>
            <w:tcW w:w="786" w:type="dxa"/>
            <w:vAlign w:val="bottom"/>
          </w:tcPr>
          <w:p w:rsidR="001309FF" w:rsidRDefault="001309FF">
            <w:pPr>
              <w:rPr>
                <w:rFonts w:ascii="等线" w:eastAsia="等线" w:hAnsi="等线" w:cs="等线"/>
                <w:color w:val="000000"/>
                <w:sz w:val="22"/>
                <w:szCs w:val="22"/>
              </w:rPr>
            </w:pPr>
          </w:p>
        </w:tc>
        <w:tc>
          <w:tcPr>
            <w:tcW w:w="964" w:type="dxa"/>
            <w:vAlign w:val="bottom"/>
          </w:tcPr>
          <w:p w:rsidR="001309FF" w:rsidRDefault="001309FF">
            <w:pPr>
              <w:rPr>
                <w:rFonts w:ascii="等线" w:eastAsia="等线" w:hAnsi="等线" w:cs="等线"/>
                <w:color w:val="000000"/>
                <w:sz w:val="22"/>
                <w:szCs w:val="22"/>
              </w:rPr>
            </w:pPr>
          </w:p>
        </w:tc>
        <w:tc>
          <w:tcPr>
            <w:tcW w:w="1273" w:type="dxa"/>
            <w:vAlign w:val="bottom"/>
          </w:tcPr>
          <w:p w:rsidR="001309FF" w:rsidRDefault="001309FF">
            <w:pPr>
              <w:rPr>
                <w:rFonts w:ascii="等线" w:eastAsia="等线" w:hAnsi="等线" w:cs="等线"/>
                <w:color w:val="000000"/>
                <w:sz w:val="22"/>
                <w:szCs w:val="22"/>
              </w:rPr>
            </w:pPr>
          </w:p>
        </w:tc>
        <w:tc>
          <w:tcPr>
            <w:tcW w:w="3022" w:type="dxa"/>
            <w:vAlign w:val="bottom"/>
          </w:tcPr>
          <w:p w:rsidR="001309FF" w:rsidRDefault="001309FF">
            <w:pPr>
              <w:rPr>
                <w:rFonts w:ascii="等线" w:eastAsia="等线" w:hAnsi="等线" w:cs="等线"/>
                <w:color w:val="000000"/>
                <w:sz w:val="22"/>
                <w:szCs w:val="22"/>
              </w:rPr>
            </w:pPr>
          </w:p>
        </w:tc>
        <w:tc>
          <w:tcPr>
            <w:tcW w:w="908" w:type="dxa"/>
            <w:vAlign w:val="bottom"/>
          </w:tcPr>
          <w:p w:rsidR="001309FF" w:rsidRDefault="001309FF">
            <w:pPr>
              <w:rPr>
                <w:rFonts w:ascii="等线" w:eastAsia="等线" w:hAnsi="等线" w:cs="等线"/>
                <w:color w:val="000000"/>
                <w:sz w:val="22"/>
                <w:szCs w:val="22"/>
              </w:rPr>
            </w:pPr>
          </w:p>
        </w:tc>
        <w:tc>
          <w:tcPr>
            <w:tcW w:w="708" w:type="dxa"/>
            <w:vAlign w:val="bottom"/>
          </w:tcPr>
          <w:p w:rsidR="001309FF" w:rsidRDefault="001309FF">
            <w:pPr>
              <w:rPr>
                <w:rFonts w:ascii="等线" w:eastAsia="等线" w:hAnsi="等线" w:cs="等线"/>
                <w:color w:val="000000"/>
                <w:sz w:val="22"/>
                <w:szCs w:val="22"/>
              </w:rPr>
            </w:pPr>
          </w:p>
        </w:tc>
      </w:tr>
      <w:tr w:rsidR="001309FF">
        <w:trPr>
          <w:trHeight w:val="600"/>
        </w:trPr>
        <w:tc>
          <w:tcPr>
            <w:tcW w:w="8336" w:type="dxa"/>
            <w:gridSpan w:val="7"/>
            <w:tcBorders>
              <w:bottom w:val="single" w:sz="4" w:space="0" w:color="000000"/>
            </w:tcBorders>
            <w:vAlign w:val="center"/>
          </w:tcPr>
          <w:p w:rsidR="001309FF" w:rsidRDefault="00972CFD">
            <w:pPr>
              <w:widowControl/>
              <w:jc w:val="center"/>
              <w:textAlignment w:val="center"/>
              <w:rPr>
                <w:rFonts w:ascii="黑体" w:eastAsia="黑体" w:hAnsi="宋体" w:cs="黑体"/>
                <w:b/>
                <w:color w:val="000000"/>
                <w:sz w:val="32"/>
                <w:szCs w:val="32"/>
              </w:rPr>
            </w:pPr>
            <w:r>
              <w:rPr>
                <w:rFonts w:ascii="黑体" w:eastAsia="黑体" w:hAnsi="宋体" w:cs="黑体" w:hint="eastAsia"/>
                <w:b/>
                <w:color w:val="000000"/>
                <w:kern w:val="0"/>
                <w:sz w:val="32"/>
                <w:szCs w:val="32"/>
                <w:lang/>
              </w:rPr>
              <w:t>部门整体支出绩效评价指标体系评分表</w:t>
            </w:r>
          </w:p>
        </w:tc>
      </w:tr>
      <w:tr w:rsidR="001309FF">
        <w:trPr>
          <w:trHeight w:val="600"/>
        </w:trPr>
        <w:tc>
          <w:tcPr>
            <w:tcW w:w="675"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rPr>
              <w:t>一级指标</w:t>
            </w:r>
          </w:p>
        </w:tc>
        <w:tc>
          <w:tcPr>
            <w:tcW w:w="786"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rPr>
              <w:t>二级指标</w:t>
            </w:r>
          </w:p>
        </w:tc>
        <w:tc>
          <w:tcPr>
            <w:tcW w:w="964"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rPr>
              <w:t>三级指标</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rPr>
              <w:t>四级指标</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rPr>
              <w:t>评分标准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rPr>
              <w:t>评分依据及简要说明</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rPr>
              <w:t>得分</w:t>
            </w:r>
          </w:p>
        </w:tc>
      </w:tr>
      <w:tr w:rsidR="001309FF">
        <w:trPr>
          <w:trHeight w:val="1500"/>
        </w:trPr>
        <w:tc>
          <w:tcPr>
            <w:tcW w:w="675" w:type="dxa"/>
            <w:vMerge w:val="restart"/>
            <w:tcBorders>
              <w:top w:val="single" w:sz="4" w:space="0" w:color="000000"/>
              <w:left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履职效能（</w:t>
            </w:r>
            <w:r>
              <w:rPr>
                <w:rFonts w:ascii="等线" w:eastAsia="等线" w:hAnsi="等线" w:cs="等线"/>
                <w:color w:val="000000"/>
                <w:kern w:val="0"/>
                <w:sz w:val="20"/>
                <w:szCs w:val="20"/>
                <w:lang/>
              </w:rPr>
              <w:t>35</w:t>
            </w:r>
            <w:r>
              <w:rPr>
                <w:rFonts w:ascii="等线" w:eastAsia="等线" w:hAnsi="等线" w:cs="等线"/>
                <w:color w:val="000000"/>
                <w:kern w:val="0"/>
                <w:sz w:val="20"/>
                <w:szCs w:val="20"/>
                <w:lang/>
              </w:rPr>
              <w:t>分）</w:t>
            </w: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工作目标（</w:t>
            </w:r>
            <w:r>
              <w:rPr>
                <w:rFonts w:ascii="等线" w:eastAsia="等线" w:hAnsi="等线" w:cs="等线"/>
                <w:color w:val="000000"/>
                <w:kern w:val="0"/>
                <w:sz w:val="20"/>
                <w:szCs w:val="20"/>
                <w:lang/>
              </w:rPr>
              <w:t>5</w:t>
            </w:r>
            <w:r>
              <w:rPr>
                <w:rFonts w:ascii="等线" w:eastAsia="等线" w:hAnsi="等线" w:cs="等线"/>
                <w:color w:val="000000"/>
                <w:kern w:val="0"/>
                <w:sz w:val="20"/>
                <w:szCs w:val="20"/>
                <w:lang/>
              </w:rPr>
              <w:t>分）</w:t>
            </w: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目标设定（</w:t>
            </w:r>
            <w:r>
              <w:rPr>
                <w:rFonts w:ascii="等线" w:eastAsia="等线" w:hAnsi="等线" w:cs="等线"/>
                <w:color w:val="000000"/>
                <w:kern w:val="0"/>
                <w:sz w:val="20"/>
                <w:szCs w:val="20"/>
                <w:lang/>
              </w:rPr>
              <w:t>4</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目标依据充分性（</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是否依据法律法规、社会经济发展的总体规划设定；</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是否符合部门</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三定</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方案确定的部门工作职责；</w:t>
            </w:r>
            <w:r>
              <w:rPr>
                <w:rFonts w:ascii="等线" w:eastAsia="等线" w:hAnsi="等线" w:cs="等线"/>
                <w:color w:val="000000"/>
                <w:kern w:val="0"/>
                <w:sz w:val="20"/>
                <w:szCs w:val="20"/>
                <w:lang/>
              </w:rPr>
              <w:t>③</w:t>
            </w:r>
            <w:r>
              <w:rPr>
                <w:rFonts w:ascii="等线" w:eastAsia="等线" w:hAnsi="等线" w:cs="等线"/>
                <w:color w:val="000000"/>
                <w:kern w:val="0"/>
                <w:sz w:val="20"/>
                <w:szCs w:val="20"/>
                <w:lang/>
              </w:rPr>
              <w:t>是否符合部门制定的中长期规划及年度工作计划；</w:t>
            </w:r>
            <w:r>
              <w:rPr>
                <w:rFonts w:ascii="等线" w:eastAsia="等线" w:hAnsi="等线" w:cs="等线"/>
                <w:color w:val="000000"/>
                <w:kern w:val="0"/>
                <w:sz w:val="20"/>
                <w:szCs w:val="20"/>
                <w:lang/>
              </w:rPr>
              <w:t>④</w:t>
            </w:r>
            <w:r>
              <w:rPr>
                <w:rFonts w:ascii="等线" w:eastAsia="等线" w:hAnsi="等线" w:cs="等线"/>
                <w:color w:val="000000"/>
                <w:kern w:val="0"/>
                <w:sz w:val="20"/>
                <w:szCs w:val="20"/>
                <w:lang/>
              </w:rPr>
              <w:t>是否具有科学性和前瞻性。每项达到目标值得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依据法律法规设定，符合部门</w:t>
            </w:r>
            <w:r>
              <w:rPr>
                <w:rFonts w:ascii="等线" w:eastAsia="等线" w:hAnsi="等线" w:cs="等线"/>
                <w:color w:val="000000"/>
                <w:sz w:val="20"/>
                <w:szCs w:val="20"/>
              </w:rPr>
              <w:t>“</w:t>
            </w:r>
            <w:r>
              <w:rPr>
                <w:rFonts w:ascii="等线" w:eastAsia="等线" w:hAnsi="等线" w:cs="等线"/>
                <w:color w:val="000000"/>
                <w:sz w:val="20"/>
                <w:szCs w:val="20"/>
              </w:rPr>
              <w:t>三定</w:t>
            </w:r>
            <w:r>
              <w:rPr>
                <w:rFonts w:ascii="等线" w:eastAsia="等线" w:hAnsi="等线" w:cs="等线"/>
                <w:color w:val="000000"/>
                <w:sz w:val="20"/>
                <w:szCs w:val="20"/>
              </w:rPr>
              <w:t>”</w:t>
            </w:r>
            <w:r>
              <w:rPr>
                <w:rFonts w:ascii="等线" w:eastAsia="等线" w:hAnsi="等线" w:cs="等线"/>
                <w:color w:val="000000"/>
                <w:sz w:val="20"/>
                <w:szCs w:val="20"/>
              </w:rPr>
              <w:t>方案确定工作职责，科学前瞻的制定部门中长期规划</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1309FF">
        <w:trPr>
          <w:trHeight w:val="990"/>
        </w:trPr>
        <w:tc>
          <w:tcPr>
            <w:tcW w:w="675" w:type="dxa"/>
            <w:vMerge/>
            <w:tcBorders>
              <w:top w:val="single" w:sz="4" w:space="0" w:color="000000"/>
              <w:left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工作目标合理性（</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是否符合客观实际是否可实现、可完成；</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是否将部门整体的工作目标细化分解，使其为可衡量、可比较。每项达到目标值得</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符合客观实际，部门整体工作目标做到目标细化分解</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1309FF">
        <w:trPr>
          <w:trHeight w:val="1230"/>
        </w:trPr>
        <w:tc>
          <w:tcPr>
            <w:tcW w:w="675" w:type="dxa"/>
            <w:vMerge/>
            <w:tcBorders>
              <w:top w:val="single" w:sz="4" w:space="0" w:color="000000"/>
              <w:left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目标管理（</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目标管理有效性（</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是否有对目标进行责任分解的相关工作机制；</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目标管理工作机制是否科学、合理，是否能有效保障目标执行和落地。每项达到目标值得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有相关的工作机制，管理机制科学、合理、保障目标执行</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1309FF">
        <w:trPr>
          <w:trHeight w:val="900"/>
        </w:trPr>
        <w:tc>
          <w:tcPr>
            <w:tcW w:w="675" w:type="dxa"/>
            <w:vMerge/>
            <w:tcBorders>
              <w:top w:val="single" w:sz="4" w:space="0" w:color="000000"/>
              <w:left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tcBorders>
              <w:top w:val="single" w:sz="4" w:space="0" w:color="000000"/>
              <w:left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整体工作（</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分）</w:t>
            </w:r>
          </w:p>
        </w:tc>
        <w:tc>
          <w:tcPr>
            <w:tcW w:w="964" w:type="dxa"/>
            <w:tcBorders>
              <w:top w:val="single" w:sz="4" w:space="0" w:color="000000"/>
              <w:left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整体工作完成（</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总体工作完成率（</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总体工作完成率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单位年度工作要点已完成的数量</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单位年度工作要点工作总数量；得分</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指标实际完成值</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完成</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15</w:t>
            </w:r>
          </w:p>
        </w:tc>
      </w:tr>
      <w:tr w:rsidR="001309FF">
        <w:trPr>
          <w:trHeight w:val="315"/>
        </w:trPr>
        <w:tc>
          <w:tcPr>
            <w:tcW w:w="675" w:type="dxa"/>
            <w:vMerge/>
            <w:tcBorders>
              <w:top w:val="single" w:sz="4" w:space="0" w:color="000000"/>
              <w:left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tcBorders>
              <w:top w:val="single" w:sz="4" w:space="0" w:color="000000"/>
              <w:left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重点工作（</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分）</w:t>
            </w:r>
          </w:p>
        </w:tc>
        <w:tc>
          <w:tcPr>
            <w:tcW w:w="964"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重点工作完成（</w:t>
            </w:r>
            <w:r>
              <w:rPr>
                <w:rFonts w:ascii="等线" w:eastAsia="等线" w:hAnsi="等线" w:cs="等线" w:hint="eastAsia"/>
                <w:color w:val="000000"/>
                <w:sz w:val="20"/>
                <w:szCs w:val="20"/>
              </w:rPr>
              <w:t>15</w:t>
            </w:r>
            <w:r>
              <w:rPr>
                <w:rFonts w:ascii="等线" w:eastAsia="等线" w:hAnsi="等线" w:cs="等线" w:hint="eastAsia"/>
                <w:color w:val="000000"/>
                <w:sz w:val="20"/>
                <w:szCs w:val="20"/>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重点工作完成率（</w:t>
            </w:r>
            <w:r>
              <w:rPr>
                <w:rFonts w:ascii="等线" w:eastAsia="等线" w:hAnsi="等线" w:cs="等线" w:hint="eastAsia"/>
                <w:color w:val="000000"/>
                <w:sz w:val="20"/>
                <w:szCs w:val="20"/>
              </w:rPr>
              <w:t>15</w:t>
            </w:r>
            <w:r>
              <w:rPr>
                <w:rFonts w:ascii="等线" w:eastAsia="等线" w:hAnsi="等线" w:cs="等线" w:hint="eastAsia"/>
                <w:color w:val="000000"/>
                <w:sz w:val="20"/>
                <w:szCs w:val="20"/>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textAlignment w:val="center"/>
              <w:rPr>
                <w:rFonts w:ascii="等线" w:eastAsia="等线" w:hAnsi="等线" w:cs="等线"/>
                <w:color w:val="000000"/>
                <w:sz w:val="20"/>
                <w:szCs w:val="20"/>
              </w:rPr>
            </w:pPr>
            <w:r>
              <w:rPr>
                <w:rFonts w:ascii="等线" w:eastAsia="等线" w:hAnsi="等线" w:cs="等线" w:hint="eastAsia"/>
                <w:color w:val="000000"/>
                <w:sz w:val="20"/>
                <w:szCs w:val="20"/>
              </w:rPr>
              <w:t>重点工作完成率</w:t>
            </w:r>
            <w:r>
              <w:rPr>
                <w:rFonts w:ascii="等线" w:eastAsia="等线" w:hAnsi="等线" w:cs="等线" w:hint="eastAsia"/>
                <w:color w:val="000000"/>
                <w:sz w:val="20"/>
                <w:szCs w:val="20"/>
              </w:rPr>
              <w:t>=</w:t>
            </w:r>
            <w:r>
              <w:rPr>
                <w:rFonts w:ascii="等线" w:eastAsia="等线" w:hAnsi="等线" w:cs="等线" w:hint="eastAsia"/>
                <w:color w:val="000000"/>
                <w:sz w:val="20"/>
                <w:szCs w:val="20"/>
              </w:rPr>
              <w:t>单位年度重点工作已完成的数量</w:t>
            </w:r>
            <w:r>
              <w:rPr>
                <w:rFonts w:ascii="等线" w:eastAsia="等线" w:hAnsi="等线" w:cs="等线" w:hint="eastAsia"/>
                <w:color w:val="000000"/>
                <w:sz w:val="20"/>
                <w:szCs w:val="20"/>
              </w:rPr>
              <w:t>/</w:t>
            </w:r>
            <w:r>
              <w:rPr>
                <w:rFonts w:ascii="等线" w:eastAsia="等线" w:hAnsi="等线" w:cs="等线" w:hint="eastAsia"/>
                <w:color w:val="000000"/>
                <w:sz w:val="20"/>
                <w:szCs w:val="20"/>
              </w:rPr>
              <w:t>单位年度重点工作总数量；得分</w:t>
            </w:r>
            <w:r>
              <w:rPr>
                <w:rFonts w:ascii="等线" w:eastAsia="等线" w:hAnsi="等线" w:cs="等线" w:hint="eastAsia"/>
                <w:color w:val="000000"/>
                <w:sz w:val="20"/>
                <w:szCs w:val="20"/>
              </w:rPr>
              <w:t>=</w:t>
            </w:r>
            <w:r>
              <w:rPr>
                <w:rFonts w:ascii="等线" w:eastAsia="等线" w:hAnsi="等线" w:cs="等线" w:hint="eastAsia"/>
                <w:color w:val="000000"/>
                <w:sz w:val="20"/>
                <w:szCs w:val="20"/>
              </w:rPr>
              <w:t>指标实际完成值×</w:t>
            </w:r>
            <w:r>
              <w:rPr>
                <w:rFonts w:ascii="等线" w:eastAsia="等线" w:hAnsi="等线" w:cs="等线" w:hint="eastAsia"/>
                <w:color w:val="000000"/>
                <w:sz w:val="20"/>
                <w:szCs w:val="20"/>
              </w:rPr>
              <w:t>15</w:t>
            </w:r>
            <w:r>
              <w:rPr>
                <w:rFonts w:ascii="等线" w:eastAsia="等线" w:hAnsi="等线" w:cs="等线" w:hint="eastAsia"/>
                <w:color w:val="000000"/>
                <w:sz w:val="20"/>
                <w:szCs w:val="20"/>
              </w:rPr>
              <w:t>。</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完成</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15</w:t>
            </w:r>
          </w:p>
        </w:tc>
      </w:tr>
      <w:tr w:rsidR="001309FF">
        <w:trPr>
          <w:trHeight w:val="2115"/>
        </w:trPr>
        <w:tc>
          <w:tcPr>
            <w:tcW w:w="675" w:type="dxa"/>
            <w:vMerge w:val="restart"/>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管理效率（</w:t>
            </w:r>
            <w:r>
              <w:rPr>
                <w:rFonts w:ascii="等线" w:eastAsia="等线" w:hAnsi="等线" w:cs="等线"/>
                <w:color w:val="000000"/>
                <w:kern w:val="0"/>
                <w:sz w:val="20"/>
                <w:szCs w:val="20"/>
                <w:lang/>
              </w:rPr>
              <w:t>52</w:t>
            </w:r>
            <w:r>
              <w:rPr>
                <w:rFonts w:ascii="等线" w:eastAsia="等线" w:hAnsi="等线" w:cs="等线"/>
                <w:color w:val="000000"/>
                <w:kern w:val="0"/>
                <w:sz w:val="20"/>
                <w:szCs w:val="20"/>
                <w:lang/>
              </w:rPr>
              <w:t>分）</w:t>
            </w: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预算管理（</w:t>
            </w:r>
            <w:r>
              <w:rPr>
                <w:rFonts w:ascii="等线" w:eastAsia="等线" w:hAnsi="等线" w:cs="等线"/>
                <w:color w:val="000000"/>
                <w:kern w:val="0"/>
                <w:sz w:val="20"/>
                <w:szCs w:val="20"/>
                <w:lang/>
              </w:rPr>
              <w:t>25</w:t>
            </w:r>
            <w:r>
              <w:rPr>
                <w:rFonts w:ascii="等线" w:eastAsia="等线" w:hAnsi="等线" w:cs="等线"/>
                <w:color w:val="000000"/>
                <w:kern w:val="0"/>
                <w:sz w:val="20"/>
                <w:szCs w:val="20"/>
                <w:lang/>
              </w:rPr>
              <w:t>分）</w:t>
            </w: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预算编制（</w:t>
            </w:r>
            <w:r>
              <w:rPr>
                <w:rFonts w:ascii="等线" w:eastAsia="等线" w:hAnsi="等线" w:cs="等线"/>
                <w:color w:val="000000"/>
                <w:kern w:val="0"/>
                <w:sz w:val="20"/>
                <w:szCs w:val="20"/>
                <w:lang/>
              </w:rPr>
              <w:t>6</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预算编制完整性（</w:t>
            </w:r>
            <w:r>
              <w:rPr>
                <w:rFonts w:ascii="等线" w:eastAsia="等线" w:hAnsi="等线" w:cs="等线"/>
                <w:color w:val="000000"/>
                <w:kern w:val="0"/>
                <w:sz w:val="20"/>
                <w:szCs w:val="20"/>
                <w:lang/>
              </w:rPr>
              <w:t>4</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收入预算编制是否足额，是否将所有部门预算收入全部编入收入预算；</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支出预算编制是否科学，是否是按人员经费按标准、日常公用经费按定额、专项经费按项目分别编制。</w:t>
            </w:r>
            <w:r>
              <w:rPr>
                <w:rFonts w:ascii="等线" w:eastAsia="等线" w:hAnsi="等线" w:cs="等线"/>
                <w:color w:val="000000"/>
                <w:kern w:val="0"/>
                <w:sz w:val="20"/>
                <w:szCs w:val="20"/>
                <w:lang/>
              </w:rPr>
              <w:t>③</w:t>
            </w:r>
            <w:r>
              <w:rPr>
                <w:rFonts w:ascii="等线" w:eastAsia="等线" w:hAnsi="等线" w:cs="等线"/>
                <w:color w:val="000000"/>
                <w:kern w:val="0"/>
                <w:sz w:val="20"/>
                <w:szCs w:val="20"/>
                <w:lang/>
              </w:rPr>
              <w:t>是否所有财政性资金及其配套资金采购货物、工程和服务</w:t>
            </w:r>
            <w:r>
              <w:rPr>
                <w:rFonts w:ascii="等线" w:eastAsia="等线" w:hAnsi="等线" w:cs="等线"/>
                <w:color w:val="000000"/>
                <w:kern w:val="0"/>
                <w:sz w:val="20"/>
                <w:szCs w:val="20"/>
                <w:lang/>
              </w:rPr>
              <w:lastRenderedPageBreak/>
              <w:t>支出编制了政府采购预算。</w:t>
            </w:r>
            <w:r>
              <w:rPr>
                <w:rFonts w:ascii="等线" w:eastAsia="等线" w:hAnsi="等线" w:cs="等线"/>
                <w:color w:val="000000"/>
                <w:kern w:val="0"/>
                <w:sz w:val="20"/>
                <w:szCs w:val="20"/>
                <w:lang/>
              </w:rPr>
              <w:t>④</w:t>
            </w:r>
            <w:r>
              <w:rPr>
                <w:rFonts w:ascii="等线" w:eastAsia="等线" w:hAnsi="等线" w:cs="等线"/>
                <w:color w:val="000000"/>
                <w:kern w:val="0"/>
                <w:sz w:val="20"/>
                <w:szCs w:val="20"/>
                <w:lang/>
              </w:rPr>
              <w:t>三公经费预算编制只减不增。每项达到目标值得</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lastRenderedPageBreak/>
              <w:t>收入、支出、政府采购预算编制均按要求编制，三公经费预算</w:t>
            </w:r>
            <w:r>
              <w:rPr>
                <w:rFonts w:ascii="等线" w:eastAsia="等线" w:hAnsi="等线" w:cs="等线"/>
                <w:color w:val="000000"/>
                <w:sz w:val="20"/>
                <w:szCs w:val="20"/>
              </w:rPr>
              <w:lastRenderedPageBreak/>
              <w:t>编制做到只减不增</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lastRenderedPageBreak/>
              <w:t>4</w:t>
            </w:r>
          </w:p>
        </w:tc>
      </w:tr>
      <w:tr w:rsidR="001309FF">
        <w:trPr>
          <w:trHeight w:val="975"/>
        </w:trPr>
        <w:tc>
          <w:tcPr>
            <w:tcW w:w="675"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预算科目设置合理性（</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功能科目编制是否科学合理，编制到</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项</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经济科目的编制是否科学合理，编排至</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款</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。每项达到目标值得</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功能科目、经济科目做到科学合理编制</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1309FF">
        <w:trPr>
          <w:trHeight w:val="1290"/>
        </w:trPr>
        <w:tc>
          <w:tcPr>
            <w:tcW w:w="675"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预算执行（</w:t>
            </w:r>
            <w:r>
              <w:rPr>
                <w:rFonts w:ascii="等线" w:eastAsia="等线" w:hAnsi="等线" w:cs="等线"/>
                <w:color w:val="000000"/>
                <w:kern w:val="0"/>
                <w:sz w:val="20"/>
                <w:szCs w:val="20"/>
                <w:lang/>
              </w:rPr>
              <w:t>16</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预算执行率（</w:t>
            </w:r>
            <w:r>
              <w:rPr>
                <w:rFonts w:ascii="等线" w:eastAsia="等线" w:hAnsi="等线" w:cs="等线"/>
                <w:color w:val="000000"/>
                <w:kern w:val="0"/>
                <w:sz w:val="20"/>
                <w:szCs w:val="20"/>
                <w:lang/>
              </w:rPr>
              <w:t>12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预算执行率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（预算执行数</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预算数）</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。得分</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指标实际完成值</w:t>
            </w:r>
            <w:r>
              <w:rPr>
                <w:rFonts w:ascii="等线" w:eastAsia="等线" w:hAnsi="等线" w:cs="等线"/>
                <w:color w:val="000000"/>
                <w:kern w:val="0"/>
                <w:sz w:val="20"/>
                <w:szCs w:val="20"/>
                <w:lang/>
              </w:rPr>
              <w:t>×12</w:t>
            </w:r>
            <w:r>
              <w:rPr>
                <w:rFonts w:ascii="等线" w:eastAsia="等线" w:hAnsi="等线" w:cs="等线"/>
                <w:color w:val="000000"/>
                <w:kern w:val="0"/>
                <w:sz w:val="20"/>
                <w:szCs w:val="20"/>
                <w:lang/>
              </w:rPr>
              <w:t>。其中，预算执行数指部门本年度实际执行的预算数；预算数指财政部门批复的本年度部门的预算数。</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color w:val="000000"/>
                <w:sz w:val="20"/>
                <w:szCs w:val="20"/>
              </w:rPr>
              <w:t>预算执行率符合要求</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hint="eastAsia"/>
                <w:color w:val="000000"/>
                <w:sz w:val="20"/>
                <w:szCs w:val="20"/>
              </w:rPr>
              <w:t>12</w:t>
            </w:r>
          </w:p>
        </w:tc>
      </w:tr>
      <w:tr w:rsidR="001309FF">
        <w:trPr>
          <w:trHeight w:val="2340"/>
        </w:trPr>
        <w:tc>
          <w:tcPr>
            <w:tcW w:w="675"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预算调整率（</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预算调整率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（预算调整数</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预算数）</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。得分</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指标实际完成值</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。预算调整数：部门在本年度内涉及预算的追加、追减或结构调整的资金总和（因落实国家政策、发生不可抗力、上级部门或本级党委政府临时交办而产生的调整除</w:t>
            </w:r>
            <w:r>
              <w:rPr>
                <w:rFonts w:ascii="等线" w:eastAsia="等线" w:hAnsi="等线" w:cs="等线"/>
                <w:color w:val="000000"/>
                <w:kern w:val="0"/>
                <w:sz w:val="20"/>
                <w:szCs w:val="20"/>
                <w:lang/>
              </w:rPr>
              <w:lastRenderedPageBreak/>
              <w:t>外）。比率等于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，得满分；比率在</w:t>
            </w:r>
            <w:r>
              <w:rPr>
                <w:rFonts w:ascii="等线" w:eastAsia="等线" w:hAnsi="等线" w:cs="等线"/>
                <w:color w:val="000000"/>
                <w:kern w:val="0"/>
                <w:sz w:val="20"/>
                <w:szCs w:val="20"/>
                <w:lang/>
              </w:rPr>
              <w:t>0%-10%</w:t>
            </w:r>
            <w:r>
              <w:rPr>
                <w:rFonts w:ascii="等线" w:eastAsia="等线" w:hAnsi="等线" w:cs="等线"/>
                <w:color w:val="000000"/>
                <w:kern w:val="0"/>
                <w:sz w:val="20"/>
                <w:szCs w:val="20"/>
                <w:lang/>
              </w:rPr>
              <w:t>之间的，得</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分；比率在</w:t>
            </w:r>
            <w:r>
              <w:rPr>
                <w:rFonts w:ascii="等线" w:eastAsia="等线" w:hAnsi="等线" w:cs="等线"/>
                <w:color w:val="000000"/>
                <w:kern w:val="0"/>
                <w:sz w:val="20"/>
                <w:szCs w:val="20"/>
                <w:lang/>
              </w:rPr>
              <w:t>10%-20%</w:t>
            </w:r>
            <w:r>
              <w:rPr>
                <w:rFonts w:ascii="等线" w:eastAsia="等线" w:hAnsi="等线" w:cs="等线"/>
                <w:color w:val="000000"/>
                <w:kern w:val="0"/>
                <w:sz w:val="20"/>
                <w:szCs w:val="20"/>
                <w:lang/>
              </w:rPr>
              <w:t>之间的，得</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分；比率在</w:t>
            </w:r>
            <w:r>
              <w:rPr>
                <w:rFonts w:ascii="等线" w:eastAsia="等线" w:hAnsi="等线" w:cs="等线"/>
                <w:color w:val="000000"/>
                <w:kern w:val="0"/>
                <w:sz w:val="20"/>
                <w:szCs w:val="20"/>
                <w:lang/>
              </w:rPr>
              <w:t>20%-30%</w:t>
            </w:r>
            <w:r>
              <w:rPr>
                <w:rFonts w:ascii="等线" w:eastAsia="等线" w:hAnsi="等线" w:cs="等线"/>
                <w:color w:val="000000"/>
                <w:kern w:val="0"/>
                <w:sz w:val="20"/>
                <w:szCs w:val="20"/>
                <w:lang/>
              </w:rPr>
              <w:t>之间的，得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分；比率大于</w:t>
            </w:r>
            <w:r>
              <w:rPr>
                <w:rFonts w:ascii="等线" w:eastAsia="等线" w:hAnsi="等线" w:cs="等线"/>
                <w:color w:val="000000"/>
                <w:kern w:val="0"/>
                <w:sz w:val="20"/>
                <w:szCs w:val="20"/>
                <w:lang/>
              </w:rPr>
              <w:t>30%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color w:val="000000"/>
                <w:sz w:val="20"/>
                <w:szCs w:val="20"/>
              </w:rPr>
              <w:lastRenderedPageBreak/>
              <w:t>预算调整率符合要求</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1309FF">
        <w:trPr>
          <w:trHeight w:val="1050"/>
        </w:trPr>
        <w:tc>
          <w:tcPr>
            <w:tcW w:w="675"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结转结余变动率（</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结转结余变动率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（本年度累计结转结余资金总额</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上年度累计结转结余资金总额）</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上年度累计结转结余资金总额</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；比率小于等于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分；比率大于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color w:val="000000"/>
                <w:sz w:val="20"/>
                <w:szCs w:val="20"/>
              </w:rPr>
              <w:t>符合要求</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1309FF">
        <w:trPr>
          <w:trHeight w:val="1373"/>
        </w:trPr>
        <w:tc>
          <w:tcPr>
            <w:tcW w:w="675"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部门决算（</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部门决算编报质量（</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是否按照相关编审要求报送；</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部门决算编报的单位范围和资金范围是否符合相关要求。每项达到目标值得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按相关要求报送</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1309FF">
        <w:trPr>
          <w:trHeight w:val="555"/>
        </w:trPr>
        <w:tc>
          <w:tcPr>
            <w:tcW w:w="675"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预算改革（</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三年滚动财政规划（</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按文件规定编制了本部门（单位）中期财政规划得</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按文件要求编制</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1309FF">
        <w:trPr>
          <w:trHeight w:val="555"/>
        </w:trPr>
        <w:tc>
          <w:tcPr>
            <w:tcW w:w="675"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政府部门财务报告（</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按文件规定编制了政府部门财务报告得</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按文件要求编制</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1309FF">
        <w:trPr>
          <w:trHeight w:val="960"/>
        </w:trPr>
        <w:tc>
          <w:tcPr>
            <w:tcW w:w="675"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收支管理（</w:t>
            </w:r>
            <w:r>
              <w:rPr>
                <w:rFonts w:ascii="等线" w:eastAsia="等线" w:hAnsi="等线" w:cs="等线"/>
                <w:color w:val="000000"/>
                <w:kern w:val="0"/>
                <w:sz w:val="20"/>
                <w:szCs w:val="20"/>
                <w:lang/>
              </w:rPr>
              <w:t>5</w:t>
            </w:r>
            <w:r>
              <w:rPr>
                <w:rFonts w:ascii="等线" w:eastAsia="等线" w:hAnsi="等线" w:cs="等线"/>
                <w:color w:val="000000"/>
                <w:kern w:val="0"/>
                <w:sz w:val="20"/>
                <w:szCs w:val="20"/>
                <w:lang/>
              </w:rPr>
              <w:t>分）</w:t>
            </w:r>
          </w:p>
        </w:tc>
        <w:tc>
          <w:tcPr>
            <w:tcW w:w="964"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收入管理（</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收入管理规范性（</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财政拨款收入、事业收入、上级补助收入、下属单位上缴收入、经营</w:t>
            </w:r>
            <w:r>
              <w:rPr>
                <w:rFonts w:ascii="等线" w:eastAsia="等线" w:hAnsi="等线" w:cs="等线"/>
                <w:color w:val="000000"/>
                <w:kern w:val="0"/>
                <w:sz w:val="20"/>
                <w:szCs w:val="20"/>
                <w:lang/>
              </w:rPr>
              <w:lastRenderedPageBreak/>
              <w:t>收入及其他收入管理是否符合财务规定。达到目标值得</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宋体" w:eastAsia="宋体" w:hAnsi="宋体" w:cs="宋体" w:hint="eastAsia"/>
                <w:color w:val="000000"/>
                <w:sz w:val="20"/>
                <w:szCs w:val="20"/>
              </w:rPr>
              <w:lastRenderedPageBreak/>
              <w:t>符合财务规定</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2</w:t>
            </w:r>
          </w:p>
        </w:tc>
      </w:tr>
      <w:tr w:rsidR="001309FF">
        <w:trPr>
          <w:trHeight w:val="720"/>
        </w:trPr>
        <w:tc>
          <w:tcPr>
            <w:tcW w:w="675"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支出管理（</w:t>
            </w:r>
            <w:r>
              <w:rPr>
                <w:rFonts w:ascii="等线" w:eastAsia="等线" w:hAnsi="等线" w:cs="等线"/>
                <w:color w:val="000000"/>
                <w:kern w:val="0"/>
                <w:sz w:val="20"/>
                <w:szCs w:val="20"/>
                <w:lang/>
              </w:rPr>
              <w:t>3</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支出管理规范性（</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基本支出和项目支出是否符合财务规定及相关制度办法的有关规定。达到目标值得</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宋体" w:eastAsia="宋体" w:hAnsi="宋体" w:cs="宋体" w:hint="eastAsia"/>
                <w:color w:val="000000"/>
                <w:sz w:val="20"/>
                <w:szCs w:val="20"/>
              </w:rPr>
              <w:t>符合财务及有关规定</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2</w:t>
            </w:r>
          </w:p>
        </w:tc>
      </w:tr>
      <w:tr w:rsidR="001309FF">
        <w:trPr>
          <w:trHeight w:val="930"/>
        </w:trPr>
        <w:tc>
          <w:tcPr>
            <w:tcW w:w="675"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重点支出结构合理性（</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重点项目支出是否合理（重点支出保障率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（重点项目支出</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项目总支出）</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）；得分</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指标实际完成值</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无重点支出</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1309FF">
        <w:trPr>
          <w:trHeight w:val="1800"/>
        </w:trPr>
        <w:tc>
          <w:tcPr>
            <w:tcW w:w="675" w:type="dxa"/>
            <w:vMerge w:val="restart"/>
            <w:tcBorders>
              <w:top w:val="single" w:sz="4" w:space="0" w:color="000000"/>
              <w:left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管理效率（</w:t>
            </w:r>
            <w:r>
              <w:rPr>
                <w:rFonts w:ascii="等线" w:eastAsia="等线" w:hAnsi="等线" w:cs="等线"/>
                <w:color w:val="000000"/>
                <w:kern w:val="0"/>
                <w:sz w:val="20"/>
                <w:szCs w:val="20"/>
                <w:lang/>
              </w:rPr>
              <w:t>52</w:t>
            </w:r>
            <w:r>
              <w:rPr>
                <w:rFonts w:ascii="等线" w:eastAsia="等线" w:hAnsi="等线" w:cs="等线"/>
                <w:color w:val="000000"/>
                <w:kern w:val="0"/>
                <w:sz w:val="20"/>
                <w:szCs w:val="20"/>
                <w:lang/>
              </w:rPr>
              <w:t>分）</w:t>
            </w: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财务管理（</w:t>
            </w:r>
            <w:r>
              <w:rPr>
                <w:rFonts w:ascii="等线" w:eastAsia="等线" w:hAnsi="等线" w:cs="等线"/>
                <w:color w:val="000000"/>
                <w:kern w:val="0"/>
                <w:sz w:val="20"/>
                <w:szCs w:val="20"/>
                <w:lang/>
              </w:rPr>
              <w:t>6</w:t>
            </w:r>
            <w:r>
              <w:rPr>
                <w:rFonts w:ascii="等线" w:eastAsia="等线" w:hAnsi="等线" w:cs="等线"/>
                <w:color w:val="000000"/>
                <w:kern w:val="0"/>
                <w:sz w:val="20"/>
                <w:szCs w:val="20"/>
                <w:lang/>
              </w:rPr>
              <w:t>分）</w:t>
            </w:r>
          </w:p>
        </w:tc>
        <w:tc>
          <w:tcPr>
            <w:tcW w:w="964"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制度完备（</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财务管理制度的完备性（</w:t>
            </w:r>
            <w:r>
              <w:rPr>
                <w:rFonts w:ascii="等线" w:eastAsia="等线" w:hAnsi="等线" w:cs="等线"/>
                <w:color w:val="000000"/>
                <w:kern w:val="0"/>
                <w:sz w:val="20"/>
                <w:szCs w:val="20"/>
                <w:lang/>
              </w:rPr>
              <w:t>1.5</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资金的拨付和使用是否有比较完整的审批程序和手续；</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财务核算符合财经法规和财务管理制度及专项资金管理有关规定；</w:t>
            </w:r>
            <w:r>
              <w:rPr>
                <w:rFonts w:ascii="等线" w:eastAsia="等线" w:hAnsi="等线" w:cs="等线"/>
                <w:color w:val="000000"/>
                <w:kern w:val="0"/>
                <w:sz w:val="20"/>
                <w:szCs w:val="20"/>
                <w:lang/>
              </w:rPr>
              <w:t>③</w:t>
            </w:r>
            <w:r>
              <w:rPr>
                <w:rFonts w:ascii="等线" w:eastAsia="等线" w:hAnsi="等线" w:cs="等线"/>
                <w:color w:val="000000"/>
                <w:kern w:val="0"/>
                <w:sz w:val="20"/>
                <w:szCs w:val="20"/>
                <w:lang/>
              </w:rPr>
              <w:t>部门基础数据信息和会计信息资料的真实性、完整性、准确性，能否对预算管理工作起到很好的支撑作用。每项达到目标值得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宋体" w:eastAsia="宋体" w:hAnsi="宋体" w:cs="宋体" w:hint="eastAsia"/>
                <w:color w:val="000000"/>
                <w:sz w:val="20"/>
                <w:szCs w:val="20"/>
              </w:rPr>
              <w:t>符合财务管理制度</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1.5</w:t>
            </w:r>
          </w:p>
        </w:tc>
      </w:tr>
      <w:tr w:rsidR="001309FF">
        <w:trPr>
          <w:trHeight w:val="780"/>
        </w:trPr>
        <w:tc>
          <w:tcPr>
            <w:tcW w:w="675" w:type="dxa"/>
            <w:vMerge/>
            <w:tcBorders>
              <w:top w:val="single" w:sz="4" w:space="0" w:color="000000"/>
              <w:left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采购管理（</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政府采购执行率（</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政府采购执行率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（实际政府采购金额</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政府采购预算数）</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；得分</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指标实际完成值</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无政府采购</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1309FF">
        <w:trPr>
          <w:trHeight w:val="2820"/>
        </w:trPr>
        <w:tc>
          <w:tcPr>
            <w:tcW w:w="675" w:type="dxa"/>
            <w:vMerge/>
            <w:tcBorders>
              <w:top w:val="single" w:sz="4" w:space="0" w:color="000000"/>
              <w:left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内部控制（</w:t>
            </w:r>
            <w:r>
              <w:rPr>
                <w:rFonts w:ascii="等线" w:eastAsia="等线" w:hAnsi="等线" w:cs="等线"/>
                <w:color w:val="000000"/>
                <w:kern w:val="0"/>
                <w:sz w:val="20"/>
                <w:szCs w:val="20"/>
                <w:lang/>
              </w:rPr>
              <w:t>2.5</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内控制度有效性（</w:t>
            </w:r>
            <w:r>
              <w:rPr>
                <w:rFonts w:ascii="等线" w:eastAsia="等线" w:hAnsi="等线" w:cs="等线"/>
                <w:color w:val="000000"/>
                <w:kern w:val="0"/>
                <w:sz w:val="20"/>
                <w:szCs w:val="20"/>
                <w:lang/>
              </w:rPr>
              <w:t>2.5</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预算业务控制：单位是否建立健全预算编制、审批、执行、决算与评价等预算内部管理制度；</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收支业务控制：单位是否建立健全收入、支出内部管理制度；</w:t>
            </w:r>
            <w:r>
              <w:rPr>
                <w:rFonts w:ascii="等线" w:eastAsia="等线" w:hAnsi="等线" w:cs="等线"/>
                <w:color w:val="000000"/>
                <w:kern w:val="0"/>
                <w:sz w:val="20"/>
                <w:szCs w:val="20"/>
                <w:lang/>
              </w:rPr>
              <w:t>③</w:t>
            </w:r>
            <w:r>
              <w:rPr>
                <w:rFonts w:ascii="等线" w:eastAsia="等线" w:hAnsi="等线" w:cs="等线"/>
                <w:color w:val="000000"/>
                <w:kern w:val="0"/>
                <w:sz w:val="20"/>
                <w:szCs w:val="20"/>
                <w:lang/>
              </w:rPr>
              <w:t>政府采购业务控制：单位是否建立健全政府采购预算与计划管理、政府采购活动管理、验收管理等政府采购内部管理制度；</w:t>
            </w:r>
            <w:r>
              <w:rPr>
                <w:rFonts w:ascii="等线" w:eastAsia="等线" w:hAnsi="等线" w:cs="等线"/>
                <w:color w:val="000000"/>
                <w:kern w:val="0"/>
                <w:sz w:val="20"/>
                <w:szCs w:val="20"/>
                <w:lang/>
              </w:rPr>
              <w:t>④</w:t>
            </w:r>
            <w:r>
              <w:rPr>
                <w:rFonts w:ascii="等线" w:eastAsia="等线" w:hAnsi="等线" w:cs="等线"/>
                <w:color w:val="000000"/>
                <w:kern w:val="0"/>
                <w:sz w:val="20"/>
                <w:szCs w:val="20"/>
                <w:lang/>
              </w:rPr>
              <w:t>资产控制：单位是否建立健全资产内部管理制度；上述每项达到目标值得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w:t>
            </w:r>
            <w:r>
              <w:rPr>
                <w:rFonts w:ascii="等线" w:eastAsia="等线" w:hAnsi="等线" w:cs="等线"/>
                <w:color w:val="000000"/>
                <w:kern w:val="0"/>
                <w:sz w:val="20"/>
                <w:szCs w:val="20"/>
                <w:lang/>
              </w:rPr>
              <w:t>⑤</w:t>
            </w:r>
            <w:r>
              <w:rPr>
                <w:rFonts w:ascii="等线" w:eastAsia="等线" w:hAnsi="等线" w:cs="等线"/>
                <w:color w:val="000000"/>
                <w:kern w:val="0"/>
                <w:sz w:val="20"/>
                <w:szCs w:val="20"/>
                <w:lang/>
              </w:rPr>
              <w:t>上述内部控制管理制度是否执行到位有效。达到目标值得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宋体" w:eastAsia="宋体" w:hAnsi="宋体" w:cs="宋体" w:hint="eastAsia"/>
                <w:color w:val="000000"/>
                <w:sz w:val="20"/>
                <w:szCs w:val="20"/>
              </w:rPr>
              <w:t>内控制度规范</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2.5</w:t>
            </w:r>
          </w:p>
        </w:tc>
      </w:tr>
      <w:tr w:rsidR="001309FF">
        <w:trPr>
          <w:trHeight w:val="2010"/>
        </w:trPr>
        <w:tc>
          <w:tcPr>
            <w:tcW w:w="675" w:type="dxa"/>
            <w:vMerge/>
            <w:tcBorders>
              <w:top w:val="single" w:sz="4" w:space="0" w:color="000000"/>
              <w:left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资产管理（</w:t>
            </w:r>
            <w:r>
              <w:rPr>
                <w:rFonts w:ascii="等线" w:eastAsia="等线" w:hAnsi="等线" w:cs="等线"/>
                <w:color w:val="000000"/>
                <w:kern w:val="0"/>
                <w:sz w:val="20"/>
                <w:szCs w:val="20"/>
                <w:lang/>
              </w:rPr>
              <w:t>4</w:t>
            </w:r>
            <w:r>
              <w:rPr>
                <w:rFonts w:ascii="等线" w:eastAsia="等线" w:hAnsi="等线" w:cs="等线"/>
                <w:color w:val="000000"/>
                <w:kern w:val="0"/>
                <w:sz w:val="20"/>
                <w:szCs w:val="20"/>
                <w:lang/>
              </w:rPr>
              <w:t>分）</w:t>
            </w:r>
          </w:p>
        </w:tc>
        <w:tc>
          <w:tcPr>
            <w:tcW w:w="964"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规范管理（</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资产管理规范性（</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①</w:t>
            </w:r>
            <w:r>
              <w:rPr>
                <w:rFonts w:ascii="等线" w:eastAsia="等线" w:hAnsi="等线" w:cs="等线"/>
                <w:color w:val="000000"/>
                <w:kern w:val="0"/>
                <w:sz w:val="20"/>
                <w:szCs w:val="20"/>
                <w:lang/>
              </w:rPr>
              <w:t>资产保存是否完整，是否定期对固定资产进行清查，是否有因管理不当发生严重资产损失和丢失的情况；</w:t>
            </w:r>
            <w:r>
              <w:rPr>
                <w:rFonts w:ascii="等线" w:eastAsia="等线" w:hAnsi="等线" w:cs="等线"/>
                <w:color w:val="000000"/>
                <w:kern w:val="0"/>
                <w:sz w:val="20"/>
                <w:szCs w:val="20"/>
                <w:lang/>
              </w:rPr>
              <w:t>②</w:t>
            </w:r>
            <w:r>
              <w:rPr>
                <w:rFonts w:ascii="等线" w:eastAsia="等线" w:hAnsi="等线" w:cs="等线"/>
                <w:color w:val="000000"/>
                <w:kern w:val="0"/>
                <w:sz w:val="20"/>
                <w:szCs w:val="20"/>
                <w:lang/>
              </w:rPr>
              <w:t>是否存在超标准配置资产；</w:t>
            </w:r>
            <w:r>
              <w:rPr>
                <w:rFonts w:ascii="等线" w:eastAsia="等线" w:hAnsi="等线" w:cs="等线"/>
                <w:color w:val="000000"/>
                <w:kern w:val="0"/>
                <w:sz w:val="20"/>
                <w:szCs w:val="20"/>
                <w:lang/>
              </w:rPr>
              <w:t>③</w:t>
            </w:r>
            <w:r>
              <w:rPr>
                <w:rFonts w:ascii="等线" w:eastAsia="等线" w:hAnsi="等线" w:cs="等线"/>
                <w:color w:val="000000"/>
                <w:kern w:val="0"/>
                <w:sz w:val="20"/>
                <w:szCs w:val="20"/>
                <w:lang/>
              </w:rPr>
              <w:t>资产使用是否规范，是否存在未经批准擅自出租、出借资产行为；</w:t>
            </w:r>
            <w:r>
              <w:rPr>
                <w:rFonts w:ascii="等线" w:eastAsia="等线" w:hAnsi="等线" w:cs="等线"/>
                <w:color w:val="000000"/>
                <w:kern w:val="0"/>
                <w:sz w:val="20"/>
                <w:szCs w:val="20"/>
                <w:lang/>
              </w:rPr>
              <w:t>④</w:t>
            </w:r>
            <w:r>
              <w:rPr>
                <w:rFonts w:ascii="等线" w:eastAsia="等线" w:hAnsi="等线" w:cs="等线"/>
                <w:color w:val="000000"/>
                <w:kern w:val="0"/>
                <w:sz w:val="20"/>
                <w:szCs w:val="20"/>
                <w:lang/>
              </w:rPr>
              <w:t>资产处置是否规范，是否存在不按要求进行报批或资产不公开处置行为。达到目标值得</w:t>
            </w:r>
            <w:r>
              <w:rPr>
                <w:rFonts w:ascii="等线" w:eastAsia="等线" w:hAnsi="等线" w:cs="等线"/>
                <w:color w:val="000000"/>
                <w:kern w:val="0"/>
                <w:sz w:val="20"/>
                <w:szCs w:val="20"/>
                <w:lang/>
              </w:rPr>
              <w:t>0.5</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资产管理规范</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1309FF">
        <w:trPr>
          <w:trHeight w:val="1140"/>
        </w:trPr>
        <w:tc>
          <w:tcPr>
            <w:tcW w:w="675" w:type="dxa"/>
            <w:vMerge/>
            <w:tcBorders>
              <w:top w:val="single" w:sz="4" w:space="0" w:color="000000"/>
              <w:left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有效使用（</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部门固定资产利用率（</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部门固定资产利用率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（部门实际在用固定资产总额</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部门所有固定资产总额）</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；得分</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指标实际完成值</w:t>
            </w:r>
            <w:r>
              <w:rPr>
                <w:rFonts w:ascii="等线" w:eastAsia="等线" w:hAnsi="等线" w:cs="等线"/>
                <w:color w:val="000000"/>
                <w:kern w:val="0"/>
                <w:sz w:val="20"/>
                <w:szCs w:val="20"/>
                <w:lang/>
              </w:rPr>
              <w:t>×2</w:t>
            </w:r>
            <w:r>
              <w:rPr>
                <w:rFonts w:ascii="等线" w:eastAsia="等线" w:hAnsi="等线" w:cs="等线"/>
                <w:color w:val="000000"/>
                <w:kern w:val="0"/>
                <w:sz w:val="20"/>
                <w:szCs w:val="20"/>
                <w:lang/>
              </w:rPr>
              <w:t>。</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color w:val="000000"/>
                <w:sz w:val="20"/>
                <w:szCs w:val="20"/>
              </w:rPr>
              <w:t>固定资产均有效利用</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1309FF">
        <w:trPr>
          <w:trHeight w:val="1050"/>
        </w:trPr>
        <w:tc>
          <w:tcPr>
            <w:tcW w:w="675" w:type="dxa"/>
            <w:vMerge/>
            <w:tcBorders>
              <w:top w:val="single" w:sz="4" w:space="0" w:color="000000"/>
              <w:left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成本控制（</w:t>
            </w:r>
            <w:r>
              <w:rPr>
                <w:rFonts w:ascii="等线" w:eastAsia="等线" w:hAnsi="等线" w:cs="等线"/>
                <w:color w:val="000000"/>
                <w:kern w:val="0"/>
                <w:sz w:val="20"/>
                <w:szCs w:val="20"/>
                <w:lang/>
              </w:rPr>
              <w:t>12</w:t>
            </w:r>
            <w:r>
              <w:rPr>
                <w:rFonts w:ascii="等线" w:eastAsia="等线" w:hAnsi="等线" w:cs="等线"/>
                <w:color w:val="000000"/>
                <w:kern w:val="0"/>
                <w:sz w:val="20"/>
                <w:szCs w:val="20"/>
                <w:lang/>
              </w:rPr>
              <w:t>分）</w:t>
            </w: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机构运转成本调控（</w:t>
            </w:r>
            <w:r>
              <w:rPr>
                <w:rFonts w:ascii="等线" w:eastAsia="等线" w:hAnsi="等线" w:cs="等线"/>
                <w:color w:val="000000"/>
                <w:kern w:val="0"/>
                <w:sz w:val="20"/>
                <w:szCs w:val="20"/>
                <w:lang/>
              </w:rPr>
              <w:t>12</w:t>
            </w:r>
            <w:r>
              <w:rPr>
                <w:rFonts w:ascii="等线" w:eastAsia="等线" w:hAnsi="等线" w:cs="等线"/>
                <w:color w:val="000000"/>
                <w:kern w:val="0"/>
                <w:sz w:val="20"/>
                <w:szCs w:val="20"/>
                <w:lang/>
              </w:rPr>
              <w:t>分）</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一般性支出变动率（</w:t>
            </w:r>
            <w:r>
              <w:rPr>
                <w:rFonts w:ascii="等线" w:eastAsia="等线" w:hAnsi="等线" w:cs="等线"/>
                <w:color w:val="000000"/>
                <w:kern w:val="0"/>
                <w:sz w:val="20"/>
                <w:szCs w:val="20"/>
                <w:lang/>
              </w:rPr>
              <w:t>5</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一般性支出变动率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（本年度一般性支出</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上年度一般性支出）</w:t>
            </w:r>
            <w:r>
              <w:rPr>
                <w:rFonts w:ascii="等线" w:eastAsia="等线" w:hAnsi="等线" w:cs="等线"/>
                <w:color w:val="000000"/>
                <w:kern w:val="0"/>
                <w:sz w:val="20"/>
                <w:szCs w:val="20"/>
                <w:lang/>
              </w:rPr>
              <w:t xml:space="preserve"> /</w:t>
            </w:r>
            <w:r>
              <w:rPr>
                <w:rFonts w:ascii="等线" w:eastAsia="等线" w:hAnsi="等线" w:cs="等线"/>
                <w:color w:val="000000"/>
                <w:kern w:val="0"/>
                <w:sz w:val="20"/>
                <w:szCs w:val="20"/>
                <w:lang/>
              </w:rPr>
              <w:t>本年度一般性支出</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；比率小于等于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5</w:t>
            </w:r>
            <w:r>
              <w:rPr>
                <w:rFonts w:ascii="等线" w:eastAsia="等线" w:hAnsi="等线" w:cs="等线"/>
                <w:color w:val="000000"/>
                <w:kern w:val="0"/>
                <w:sz w:val="20"/>
                <w:szCs w:val="20"/>
                <w:lang/>
              </w:rPr>
              <w:t>分；比率大于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比率大于</w:t>
            </w:r>
            <w:r>
              <w:rPr>
                <w:rFonts w:ascii="等线" w:eastAsia="等线" w:hAnsi="等线" w:cs="等线" w:hint="eastAsia"/>
                <w:color w:val="000000"/>
                <w:sz w:val="20"/>
                <w:szCs w:val="20"/>
              </w:rPr>
              <w:t>0</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0</w:t>
            </w:r>
          </w:p>
        </w:tc>
      </w:tr>
      <w:tr w:rsidR="001309FF">
        <w:trPr>
          <w:trHeight w:val="990"/>
        </w:trPr>
        <w:tc>
          <w:tcPr>
            <w:tcW w:w="675" w:type="dxa"/>
            <w:vMerge/>
            <w:tcBorders>
              <w:top w:val="single" w:sz="4" w:space="0" w:color="000000"/>
              <w:left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人均公用经费变动率（</w:t>
            </w:r>
            <w:r>
              <w:rPr>
                <w:rFonts w:ascii="等线" w:eastAsia="等线" w:hAnsi="等线" w:cs="等线"/>
                <w:color w:val="000000"/>
                <w:kern w:val="0"/>
                <w:sz w:val="20"/>
                <w:szCs w:val="20"/>
                <w:lang/>
              </w:rPr>
              <w:t>3</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人均公用经费变动率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（本年度人均公用经费</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上年度人均公用经费）</w:t>
            </w:r>
            <w:r>
              <w:rPr>
                <w:rFonts w:ascii="等线" w:eastAsia="等线" w:hAnsi="等线" w:cs="等线"/>
                <w:color w:val="000000"/>
                <w:kern w:val="0"/>
                <w:sz w:val="20"/>
                <w:szCs w:val="20"/>
                <w:lang/>
              </w:rPr>
              <w:t xml:space="preserve"> /</w:t>
            </w:r>
            <w:r>
              <w:rPr>
                <w:rFonts w:ascii="等线" w:eastAsia="等线" w:hAnsi="等线" w:cs="等线"/>
                <w:color w:val="000000"/>
                <w:kern w:val="0"/>
                <w:sz w:val="20"/>
                <w:szCs w:val="20"/>
                <w:lang/>
              </w:rPr>
              <w:t>上年度人均公用经费</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；比率小于等于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3</w:t>
            </w:r>
            <w:r>
              <w:rPr>
                <w:rFonts w:ascii="等线" w:eastAsia="等线" w:hAnsi="等线" w:cs="等线"/>
                <w:color w:val="000000"/>
                <w:kern w:val="0"/>
                <w:sz w:val="20"/>
                <w:szCs w:val="20"/>
                <w:lang/>
              </w:rPr>
              <w:t>分；比率大于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比率小于等于</w:t>
            </w:r>
            <w:r>
              <w:rPr>
                <w:rFonts w:ascii="等线" w:eastAsia="等线" w:hAnsi="等线" w:cs="等线" w:hint="eastAsia"/>
                <w:color w:val="000000"/>
                <w:sz w:val="20"/>
                <w:szCs w:val="20"/>
              </w:rPr>
              <w:t>0</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3</w:t>
            </w:r>
          </w:p>
        </w:tc>
      </w:tr>
      <w:tr w:rsidR="001309FF">
        <w:trPr>
          <w:trHeight w:val="1215"/>
        </w:trPr>
        <w:tc>
          <w:tcPr>
            <w:tcW w:w="675" w:type="dxa"/>
            <w:vMerge/>
            <w:tcBorders>
              <w:top w:val="single" w:sz="4" w:space="0" w:color="000000"/>
              <w:left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三公经费</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变动率（</w:t>
            </w:r>
            <w:r>
              <w:rPr>
                <w:rFonts w:ascii="等线" w:eastAsia="等线" w:hAnsi="等线" w:cs="等线"/>
                <w:color w:val="000000"/>
                <w:kern w:val="0"/>
                <w:sz w:val="20"/>
                <w:szCs w:val="20"/>
                <w:lang/>
              </w:rPr>
              <w:t>4</w:t>
            </w:r>
            <w:r>
              <w:rPr>
                <w:rFonts w:ascii="等线" w:eastAsia="等线" w:hAnsi="等线" w:cs="等线"/>
                <w:color w:val="000000"/>
                <w:kern w:val="0"/>
                <w:sz w:val="20"/>
                <w:szCs w:val="20"/>
                <w:lang/>
              </w:rPr>
              <w:t>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三公经费</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变动率</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（本年度</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三公经费</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总额</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上年度</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三公经费</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总额）</w:t>
            </w:r>
            <w:r>
              <w:rPr>
                <w:rFonts w:ascii="等线" w:eastAsia="等线" w:hAnsi="等线" w:cs="等线"/>
                <w:color w:val="000000"/>
                <w:kern w:val="0"/>
                <w:sz w:val="20"/>
                <w:szCs w:val="20"/>
                <w:lang/>
              </w:rPr>
              <w:t xml:space="preserve"> /</w:t>
            </w:r>
            <w:r>
              <w:rPr>
                <w:rFonts w:ascii="等线" w:eastAsia="等线" w:hAnsi="等线" w:cs="等线"/>
                <w:color w:val="000000"/>
                <w:kern w:val="0"/>
                <w:sz w:val="20"/>
                <w:szCs w:val="20"/>
                <w:lang/>
              </w:rPr>
              <w:t>上年度</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三公经费</w:t>
            </w:r>
            <w:r>
              <w:rPr>
                <w:rFonts w:ascii="等线" w:eastAsia="等线" w:hAnsi="等线" w:cs="等线"/>
                <w:color w:val="000000"/>
                <w:kern w:val="0"/>
                <w:sz w:val="20"/>
                <w:szCs w:val="20"/>
                <w:lang/>
              </w:rPr>
              <w:t>”</w:t>
            </w:r>
            <w:r>
              <w:rPr>
                <w:rFonts w:ascii="等线" w:eastAsia="等线" w:hAnsi="等线" w:cs="等线"/>
                <w:color w:val="000000"/>
                <w:kern w:val="0"/>
                <w:sz w:val="20"/>
                <w:szCs w:val="20"/>
                <w:lang/>
              </w:rPr>
              <w:t>总额</w:t>
            </w:r>
            <w:r>
              <w:rPr>
                <w:rFonts w:ascii="等线" w:eastAsia="等线" w:hAnsi="等线" w:cs="等线"/>
                <w:color w:val="000000"/>
                <w:kern w:val="0"/>
                <w:sz w:val="20"/>
                <w:szCs w:val="20"/>
                <w:lang/>
              </w:rPr>
              <w:t>]×100%</w:t>
            </w:r>
            <w:r>
              <w:rPr>
                <w:rFonts w:ascii="等线" w:eastAsia="等线" w:hAnsi="等线" w:cs="等线"/>
                <w:color w:val="000000"/>
                <w:kern w:val="0"/>
                <w:sz w:val="20"/>
                <w:szCs w:val="20"/>
                <w:lang/>
              </w:rPr>
              <w:t>；比率小于等于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4</w:t>
            </w:r>
            <w:r>
              <w:rPr>
                <w:rFonts w:ascii="等线" w:eastAsia="等线" w:hAnsi="等线" w:cs="等线"/>
                <w:color w:val="000000"/>
                <w:kern w:val="0"/>
                <w:sz w:val="20"/>
                <w:szCs w:val="20"/>
                <w:lang/>
              </w:rPr>
              <w:t>分；比率大于</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，得</w:t>
            </w:r>
            <w:r>
              <w:rPr>
                <w:rFonts w:ascii="等线" w:eastAsia="等线" w:hAnsi="等线" w:cs="等线"/>
                <w:color w:val="000000"/>
                <w:kern w:val="0"/>
                <w:sz w:val="20"/>
                <w:szCs w:val="20"/>
                <w:lang/>
              </w:rPr>
              <w:t>0</w:t>
            </w:r>
            <w:r>
              <w:rPr>
                <w:rFonts w:ascii="等线" w:eastAsia="等线" w:hAnsi="等线" w:cs="等线"/>
                <w:color w:val="000000"/>
                <w:kern w:val="0"/>
                <w:sz w:val="20"/>
                <w:szCs w:val="20"/>
                <w:lang/>
              </w:rPr>
              <w:t>分。</w:t>
            </w: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比率小于等于</w:t>
            </w:r>
            <w:r>
              <w:rPr>
                <w:rFonts w:ascii="等线" w:eastAsia="等线" w:hAnsi="等线" w:cs="等线" w:hint="eastAsia"/>
                <w:color w:val="000000"/>
                <w:sz w:val="20"/>
                <w:szCs w:val="20"/>
              </w:rPr>
              <w:t>0</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4</w:t>
            </w:r>
          </w:p>
        </w:tc>
      </w:tr>
      <w:tr w:rsidR="001309FF">
        <w:trPr>
          <w:trHeight w:val="480"/>
        </w:trPr>
        <w:tc>
          <w:tcPr>
            <w:tcW w:w="675" w:type="dxa"/>
            <w:vMerge w:val="restart"/>
            <w:tcBorders>
              <w:top w:val="single" w:sz="4" w:space="0" w:color="000000"/>
              <w:left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服务满意（</w:t>
            </w:r>
            <w:r>
              <w:rPr>
                <w:rFonts w:ascii="等线" w:eastAsia="等线" w:hAnsi="等线" w:cs="等线"/>
                <w:color w:val="000000"/>
                <w:kern w:val="0"/>
                <w:sz w:val="20"/>
                <w:szCs w:val="20"/>
                <w:lang/>
              </w:rPr>
              <w:t>8</w:t>
            </w:r>
            <w:r>
              <w:rPr>
                <w:rFonts w:ascii="等线" w:eastAsia="等线" w:hAnsi="等线" w:cs="等线"/>
                <w:color w:val="000000"/>
                <w:kern w:val="0"/>
                <w:sz w:val="20"/>
                <w:szCs w:val="20"/>
                <w:lang/>
              </w:rPr>
              <w:lastRenderedPageBreak/>
              <w:t>分）</w:t>
            </w:r>
          </w:p>
        </w:tc>
        <w:tc>
          <w:tcPr>
            <w:tcW w:w="786" w:type="dxa"/>
            <w:tcBorders>
              <w:top w:val="single" w:sz="4" w:space="0" w:color="000000"/>
              <w:left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lastRenderedPageBreak/>
              <w:t>服务对象满意</w:t>
            </w:r>
          </w:p>
        </w:tc>
        <w:tc>
          <w:tcPr>
            <w:tcW w:w="964" w:type="dxa"/>
            <w:tcBorders>
              <w:top w:val="single" w:sz="4" w:space="0" w:color="000000"/>
              <w:left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1309FF">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90%</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4</w:t>
            </w:r>
          </w:p>
        </w:tc>
      </w:tr>
      <w:tr w:rsidR="001309FF">
        <w:trPr>
          <w:trHeight w:val="555"/>
        </w:trPr>
        <w:tc>
          <w:tcPr>
            <w:tcW w:w="675" w:type="dxa"/>
            <w:vMerge/>
            <w:tcBorders>
              <w:top w:val="single" w:sz="4" w:space="0" w:color="000000"/>
              <w:left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786"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利益相关方满意</w:t>
            </w:r>
          </w:p>
        </w:tc>
        <w:tc>
          <w:tcPr>
            <w:tcW w:w="964" w:type="dxa"/>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1309FF">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宋体" w:eastAsia="宋体" w:hAnsi="宋体" w:cs="宋体" w:hint="eastAsia"/>
                <w:color w:val="000000"/>
                <w:sz w:val="20"/>
                <w:szCs w:val="20"/>
              </w:rPr>
              <w:t>无社会公众投诉</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4</w:t>
            </w:r>
          </w:p>
        </w:tc>
      </w:tr>
      <w:tr w:rsidR="001309FF">
        <w:trPr>
          <w:trHeight w:val="630"/>
        </w:trPr>
        <w:tc>
          <w:tcPr>
            <w:tcW w:w="675"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lastRenderedPageBreak/>
              <w:t>可持续性（</w:t>
            </w:r>
            <w:r>
              <w:rPr>
                <w:rFonts w:ascii="等线" w:eastAsia="等线" w:hAnsi="等线" w:cs="等线"/>
                <w:color w:val="000000"/>
                <w:kern w:val="0"/>
                <w:sz w:val="20"/>
                <w:szCs w:val="20"/>
                <w:lang/>
              </w:rPr>
              <w:t>5</w:t>
            </w:r>
            <w:r>
              <w:rPr>
                <w:rFonts w:ascii="等线" w:eastAsia="等线" w:hAnsi="等线" w:cs="等线"/>
                <w:color w:val="000000"/>
                <w:kern w:val="0"/>
                <w:sz w:val="20"/>
                <w:szCs w:val="20"/>
                <w:lang/>
              </w:rPr>
              <w:t>分）</w:t>
            </w:r>
          </w:p>
        </w:tc>
        <w:tc>
          <w:tcPr>
            <w:tcW w:w="786" w:type="dxa"/>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1309FF">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1309FF">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color w:val="000000"/>
                <w:sz w:val="20"/>
                <w:szCs w:val="20"/>
              </w:rPr>
              <w:t>符合可持续</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rPr>
                <w:rFonts w:ascii="等线" w:eastAsia="等线" w:hAnsi="等线" w:cs="等线"/>
                <w:color w:val="000000"/>
                <w:sz w:val="20"/>
                <w:szCs w:val="20"/>
              </w:rPr>
            </w:pPr>
            <w:r>
              <w:rPr>
                <w:rFonts w:ascii="等线" w:eastAsia="等线" w:hAnsi="等线" w:cs="等线" w:hint="eastAsia"/>
                <w:color w:val="000000"/>
                <w:sz w:val="20"/>
                <w:szCs w:val="20"/>
              </w:rPr>
              <w:t>5</w:t>
            </w:r>
          </w:p>
        </w:tc>
      </w:tr>
      <w:tr w:rsidR="001309FF">
        <w:trPr>
          <w:trHeight w:val="2010"/>
        </w:trPr>
        <w:tc>
          <w:tcPr>
            <w:tcW w:w="675"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b/>
                <w:color w:val="000000"/>
                <w:sz w:val="20"/>
                <w:szCs w:val="20"/>
              </w:rPr>
            </w:pPr>
            <w:r>
              <w:rPr>
                <w:rFonts w:ascii="等线" w:eastAsia="等线" w:hAnsi="等线" w:cs="等线"/>
                <w:b/>
                <w:color w:val="000000"/>
                <w:kern w:val="0"/>
                <w:sz w:val="20"/>
                <w:szCs w:val="20"/>
                <w:lang/>
              </w:rPr>
              <w:t>减分项</w:t>
            </w:r>
          </w:p>
        </w:tc>
        <w:tc>
          <w:tcPr>
            <w:tcW w:w="786"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监督检查、审计、绩效评价中发现的问题</w:t>
            </w:r>
          </w:p>
        </w:tc>
        <w:tc>
          <w:tcPr>
            <w:tcW w:w="964"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监督检查、审计、绩效评价中发现的问题</w:t>
            </w:r>
          </w:p>
        </w:tc>
        <w:tc>
          <w:tcPr>
            <w:tcW w:w="1273" w:type="dxa"/>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lang/>
              </w:rPr>
              <w:t>在市级以上组织的监督检查、审计、绩效评价中发现部门资金管理方面存在问题或项目绩效目标未达成的，一个问题扣</w:t>
            </w:r>
            <w:r>
              <w:rPr>
                <w:rFonts w:ascii="等线" w:eastAsia="等线" w:hAnsi="等线" w:cs="等线"/>
                <w:color w:val="000000"/>
                <w:kern w:val="0"/>
                <w:sz w:val="20"/>
                <w:szCs w:val="20"/>
                <w:lang/>
              </w:rPr>
              <w:t>1</w:t>
            </w:r>
            <w:r>
              <w:rPr>
                <w:rFonts w:ascii="等线" w:eastAsia="等线" w:hAnsi="等线" w:cs="等线"/>
                <w:color w:val="000000"/>
                <w:kern w:val="0"/>
                <w:sz w:val="20"/>
                <w:szCs w:val="20"/>
                <w:lang/>
              </w:rPr>
              <w:t>分，不重复扣分。</w:t>
            </w:r>
          </w:p>
        </w:tc>
        <w:tc>
          <w:tcPr>
            <w:tcW w:w="3022" w:type="dxa"/>
            <w:tcBorders>
              <w:top w:val="single" w:sz="4" w:space="0" w:color="000000"/>
              <w:left w:val="single" w:sz="4" w:space="0" w:color="000000"/>
              <w:bottom w:val="single" w:sz="4" w:space="0" w:color="000000"/>
              <w:right w:val="single" w:sz="4" w:space="0" w:color="000000"/>
            </w:tcBorders>
            <w:vAlign w:val="center"/>
          </w:tcPr>
          <w:p w:rsidR="001309FF" w:rsidRDefault="001309FF">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color w:val="000000"/>
                <w:sz w:val="20"/>
                <w:szCs w:val="20"/>
              </w:rPr>
              <w:t>无</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pStyle w:val="a3"/>
              <w:widowControl/>
              <w:spacing w:beforeAutospacing="0" w:afterAutospacing="0"/>
              <w:jc w:val="center"/>
              <w:textAlignment w:val="center"/>
              <w:rPr>
                <w:rFonts w:ascii="等线" w:eastAsia="等线" w:hAnsi="等线" w:cs="等线"/>
                <w:color w:val="000000"/>
                <w:sz w:val="20"/>
                <w:szCs w:val="20"/>
              </w:rPr>
            </w:pPr>
            <w:r>
              <w:rPr>
                <w:rFonts w:ascii="等线" w:eastAsia="等线" w:hAnsi="等线" w:cs="等线" w:hint="eastAsia"/>
                <w:color w:val="000000"/>
                <w:sz w:val="20"/>
                <w:szCs w:val="20"/>
              </w:rPr>
              <w:t>0</w:t>
            </w:r>
          </w:p>
        </w:tc>
      </w:tr>
      <w:tr w:rsidR="001309FF">
        <w:trPr>
          <w:trHeight w:val="450"/>
        </w:trPr>
        <w:tc>
          <w:tcPr>
            <w:tcW w:w="7628" w:type="dxa"/>
            <w:gridSpan w:val="6"/>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center"/>
              <w:textAlignment w:val="center"/>
              <w:rPr>
                <w:rFonts w:ascii="等线" w:eastAsia="等线" w:hAnsi="等线" w:cs="等线"/>
                <w:b/>
                <w:color w:val="000000"/>
                <w:sz w:val="20"/>
                <w:szCs w:val="20"/>
              </w:rPr>
            </w:pPr>
            <w:r>
              <w:rPr>
                <w:rFonts w:ascii="等线" w:eastAsia="等线" w:hAnsi="等线" w:cs="等线"/>
                <w:b/>
                <w:color w:val="000000"/>
                <w:kern w:val="0"/>
                <w:sz w:val="20"/>
                <w:szCs w:val="20"/>
                <w:lang/>
              </w:rPr>
              <w:t>总分</w:t>
            </w:r>
          </w:p>
        </w:tc>
        <w:tc>
          <w:tcPr>
            <w:tcW w:w="708" w:type="dxa"/>
            <w:tcBorders>
              <w:top w:val="single" w:sz="4" w:space="0" w:color="000000"/>
              <w:left w:val="single" w:sz="4" w:space="0" w:color="000000"/>
              <w:bottom w:val="single" w:sz="4" w:space="0" w:color="000000"/>
              <w:right w:val="single" w:sz="4" w:space="0" w:color="000000"/>
            </w:tcBorders>
            <w:vAlign w:val="center"/>
          </w:tcPr>
          <w:p w:rsidR="001309FF" w:rsidRDefault="00972CFD">
            <w:pPr>
              <w:jc w:val="center"/>
              <w:rPr>
                <w:rFonts w:ascii="等线" w:eastAsia="等线" w:hAnsi="等线" w:cs="等线"/>
                <w:color w:val="000000"/>
                <w:sz w:val="20"/>
                <w:szCs w:val="20"/>
              </w:rPr>
            </w:pPr>
            <w:r>
              <w:rPr>
                <w:rFonts w:ascii="等线" w:eastAsia="等线" w:hAnsi="等线" w:cs="等线" w:hint="eastAsia"/>
                <w:color w:val="000000"/>
                <w:sz w:val="20"/>
                <w:szCs w:val="20"/>
              </w:rPr>
              <w:t>95</w:t>
            </w:r>
          </w:p>
        </w:tc>
      </w:tr>
      <w:tr w:rsidR="001309FF">
        <w:trPr>
          <w:trHeight w:val="420"/>
        </w:trPr>
        <w:tc>
          <w:tcPr>
            <w:tcW w:w="8336" w:type="dxa"/>
            <w:gridSpan w:val="7"/>
            <w:tcBorders>
              <w:top w:val="single" w:sz="4" w:space="0" w:color="000000"/>
              <w:left w:val="single" w:sz="4" w:space="0" w:color="000000"/>
              <w:bottom w:val="single" w:sz="4" w:space="0" w:color="000000"/>
              <w:right w:val="single" w:sz="4" w:space="0" w:color="000000"/>
            </w:tcBorders>
            <w:vAlign w:val="center"/>
          </w:tcPr>
          <w:p w:rsidR="001309FF" w:rsidRDefault="00972CFD">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lang/>
              </w:rPr>
              <w:t>注：重点工作、服务满意、可持续性这三项单位根据年初目标实际情况设定指标和评分标准。</w:t>
            </w:r>
          </w:p>
        </w:tc>
      </w:tr>
    </w:tbl>
    <w:p w:rsidR="001309FF" w:rsidRDefault="001309FF"/>
    <w:sectPr w:rsidR="001309FF" w:rsidSect="001309F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w:altName w:val="微软雅黑"/>
    <w:charset w:val="86"/>
    <w:family w:val="auto"/>
    <w:pitch w:val="default"/>
    <w:sig w:usb0="00000000"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583316C8"/>
    <w:rsid w:val="001309FF"/>
    <w:rsid w:val="00972CFD"/>
    <w:rsid w:val="583316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309FF"/>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309FF"/>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475</Words>
  <Characters>2709</Characters>
  <Application>Microsoft Office Word</Application>
  <DocSecurity>0</DocSecurity>
  <Lines>22</Lines>
  <Paragraphs>6</Paragraphs>
  <ScaleCrop>false</ScaleCrop>
  <Company/>
  <LinksUpToDate>false</LinksUpToDate>
  <CharactersWithSpaces>3178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Administrator</cp:lastModifiedBy>
  <cp:revision>2</cp:revision>
  <dcterms:created xsi:type="dcterms:W3CDTF">2021-05-18T01:53:00Z</dcterms:created>
  <dcterms:modified xsi:type="dcterms:W3CDTF">2021-05-18T03:43:00Z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C79350CCC9EC4EBF817409205828FC4E</vt:lpwstr>
  </property>
</Properties>
</file>