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center"/>
        <w:rPr>
          <w:rFonts w:hint="eastAsia" w:ascii="仿宋" w:hAnsi="仿宋" w:eastAsia="仿宋" w:cs="仿宋"/>
          <w:b/>
          <w:bCs/>
          <w:i w:val="0"/>
          <w:iCs w:val="0"/>
          <w:caps w:val="0"/>
          <w:color w:val="333333"/>
          <w:spacing w:val="0"/>
          <w:sz w:val="44"/>
          <w:szCs w:val="44"/>
          <w:shd w:val="clear" w:fill="FFFFFF"/>
          <w:lang w:val="en-US" w:eastAsia="zh-CN"/>
        </w:rPr>
      </w:pPr>
      <w:r>
        <w:rPr>
          <w:rFonts w:hint="eastAsia" w:ascii="仿宋" w:hAnsi="仿宋" w:eastAsia="仿宋" w:cs="仿宋"/>
          <w:b/>
          <w:bCs/>
          <w:i w:val="0"/>
          <w:iCs w:val="0"/>
          <w:caps w:val="0"/>
          <w:color w:val="333333"/>
          <w:spacing w:val="0"/>
          <w:sz w:val="44"/>
          <w:szCs w:val="44"/>
          <w:shd w:val="clear" w:fill="FFFFFF"/>
          <w:lang w:val="en-US" w:eastAsia="zh-CN"/>
        </w:rPr>
        <w:t>大余县水库工程管理局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center"/>
        <w:rPr>
          <w:rFonts w:hint="eastAsia" w:ascii="仿宋" w:hAnsi="仿宋" w:eastAsia="仿宋" w:cs="仿宋"/>
          <w:b/>
          <w:bCs/>
          <w:i w:val="0"/>
          <w:iCs w:val="0"/>
          <w:caps w:val="0"/>
          <w:color w:val="333333"/>
          <w:spacing w:val="0"/>
          <w:sz w:val="44"/>
          <w:szCs w:val="44"/>
          <w:shd w:val="clear" w:fill="FFFFFF"/>
        </w:rPr>
      </w:pPr>
      <w:r>
        <w:rPr>
          <w:rFonts w:hint="eastAsia" w:ascii="仿宋" w:hAnsi="仿宋" w:eastAsia="仿宋" w:cs="仿宋"/>
          <w:b/>
          <w:bCs/>
          <w:i w:val="0"/>
          <w:iCs w:val="0"/>
          <w:caps w:val="0"/>
          <w:color w:val="333333"/>
          <w:spacing w:val="0"/>
          <w:sz w:val="44"/>
          <w:szCs w:val="44"/>
          <w:shd w:val="clear" w:fill="FFFFFF"/>
          <w:lang w:val="en-US" w:eastAsia="zh-CN"/>
        </w:rPr>
        <w:t>2019年</w:t>
      </w:r>
      <w:r>
        <w:rPr>
          <w:rFonts w:hint="eastAsia" w:ascii="仿宋" w:hAnsi="仿宋" w:eastAsia="仿宋" w:cs="仿宋"/>
          <w:b/>
          <w:bCs/>
          <w:i w:val="0"/>
          <w:iCs w:val="0"/>
          <w:caps w:val="0"/>
          <w:color w:val="333333"/>
          <w:spacing w:val="0"/>
          <w:sz w:val="44"/>
          <w:szCs w:val="44"/>
          <w:shd w:val="clear" w:fill="FFFFFF"/>
        </w:rPr>
        <w:t>部门整体支出绩效自评报告</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部门概况</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部门主要职责职能，组织架构、人员及资产等基本情况。</w:t>
      </w:r>
      <w:r>
        <w:rPr>
          <w:rFonts w:hint="eastAsia" w:ascii="仿宋" w:hAnsi="仿宋" w:eastAsia="仿宋" w:cs="仿宋"/>
          <w:i w:val="0"/>
          <w:iCs w:val="0"/>
          <w:caps w:val="0"/>
          <w:color w:val="333333"/>
          <w:spacing w:val="0"/>
          <w:sz w:val="30"/>
          <w:szCs w:val="30"/>
          <w:shd w:val="clear" w:fill="FFFFFF"/>
          <w:lang w:val="en-US" w:eastAsia="zh-CN"/>
        </w:rPr>
        <w:t xml:space="preserve">          </w:t>
      </w:r>
      <w:r>
        <w:rPr>
          <w:rFonts w:hint="eastAsia" w:ascii="仿宋" w:hAnsi="仿宋" w:eastAsia="仿宋" w:cs="仿宋"/>
          <w:i w:val="0"/>
          <w:iCs w:val="0"/>
          <w:caps w:val="0"/>
          <w:color w:val="333333"/>
          <w:spacing w:val="0"/>
          <w:sz w:val="30"/>
          <w:szCs w:val="30"/>
          <w:shd w:val="clear" w:fill="FFFFFF"/>
        </w:rPr>
        <w:t>部门主要职责职能：合理保护和开发水利资源，确保水库防汛、灌溉功能正常发挥，促进县域经济可持续发展。业务范围：大坝、副坝、竖井、溢洪道、闸门等建筑物的管理和维护，防汛、灌溉的日常管理，水库水面的管理开发和利用，发电水费征收管理，所属山林的管理开发和利用；单位内设机构包括：办公室、水雨晴信息中心、油罗口水库管理站、跃进水库管理站、垅涧里水库管理站；本部门20</w:t>
      </w:r>
      <w:r>
        <w:rPr>
          <w:rFonts w:hint="eastAsia" w:ascii="仿宋" w:hAnsi="仿宋" w:eastAsia="仿宋" w:cs="仿宋"/>
          <w:i w:val="0"/>
          <w:iCs w:val="0"/>
          <w:caps w:val="0"/>
          <w:color w:val="333333"/>
          <w:spacing w:val="0"/>
          <w:sz w:val="30"/>
          <w:szCs w:val="30"/>
          <w:shd w:val="clear" w:fill="FFFFFF"/>
          <w:lang w:val="en-US" w:eastAsia="zh-CN"/>
        </w:rPr>
        <w:t>19</w:t>
      </w:r>
      <w:r>
        <w:rPr>
          <w:rFonts w:hint="eastAsia" w:ascii="仿宋" w:hAnsi="仿宋" w:eastAsia="仿宋" w:cs="仿宋"/>
          <w:i w:val="0"/>
          <w:iCs w:val="0"/>
          <w:caps w:val="0"/>
          <w:color w:val="333333"/>
          <w:spacing w:val="0"/>
          <w:sz w:val="30"/>
          <w:szCs w:val="30"/>
          <w:shd w:val="clear" w:fill="FFFFFF"/>
        </w:rPr>
        <w:t>年年末实有人数21人，其中在职人员 15 人，退休人员 3  人；年末其他人员 3 人；20</w:t>
      </w:r>
      <w:r>
        <w:rPr>
          <w:rFonts w:hint="eastAsia" w:ascii="仿宋" w:hAnsi="仿宋" w:eastAsia="仿宋" w:cs="仿宋"/>
          <w:i w:val="0"/>
          <w:iCs w:val="0"/>
          <w:caps w:val="0"/>
          <w:color w:val="333333"/>
          <w:spacing w:val="0"/>
          <w:sz w:val="30"/>
          <w:szCs w:val="30"/>
          <w:shd w:val="clear" w:fill="FFFFFF"/>
          <w:lang w:val="en-US" w:eastAsia="zh-CN"/>
        </w:rPr>
        <w:t>19</w:t>
      </w:r>
      <w:r>
        <w:rPr>
          <w:rFonts w:hint="eastAsia" w:ascii="仿宋" w:hAnsi="仿宋" w:eastAsia="仿宋" w:cs="仿宋"/>
          <w:i w:val="0"/>
          <w:iCs w:val="0"/>
          <w:caps w:val="0"/>
          <w:color w:val="333333"/>
          <w:spacing w:val="0"/>
          <w:sz w:val="30"/>
          <w:szCs w:val="30"/>
          <w:shd w:val="clear" w:fill="FFFFFF"/>
        </w:rPr>
        <w:t>年末资产总计8</w:t>
      </w:r>
      <w:r>
        <w:rPr>
          <w:rFonts w:hint="eastAsia" w:ascii="仿宋" w:hAnsi="仿宋" w:eastAsia="仿宋" w:cs="仿宋"/>
          <w:i w:val="0"/>
          <w:iCs w:val="0"/>
          <w:caps w:val="0"/>
          <w:color w:val="333333"/>
          <w:spacing w:val="0"/>
          <w:sz w:val="30"/>
          <w:szCs w:val="30"/>
          <w:shd w:val="clear" w:fill="FFFFFF"/>
          <w:lang w:val="en-US" w:eastAsia="zh-CN"/>
        </w:rPr>
        <w:t>63.86</w:t>
      </w:r>
      <w:r>
        <w:rPr>
          <w:rFonts w:hint="eastAsia" w:ascii="仿宋" w:hAnsi="仿宋" w:eastAsia="仿宋" w:cs="仿宋"/>
          <w:i w:val="0"/>
          <w:iCs w:val="0"/>
          <w:caps w:val="0"/>
          <w:color w:val="333333"/>
          <w:spacing w:val="0"/>
          <w:sz w:val="30"/>
          <w:szCs w:val="30"/>
          <w:shd w:val="clear" w:fill="FFFFFF"/>
        </w:rPr>
        <w:t>万元，其中固定资产8</w:t>
      </w:r>
      <w:r>
        <w:rPr>
          <w:rFonts w:hint="eastAsia" w:ascii="仿宋" w:hAnsi="仿宋" w:eastAsia="仿宋" w:cs="仿宋"/>
          <w:i w:val="0"/>
          <w:iCs w:val="0"/>
          <w:caps w:val="0"/>
          <w:color w:val="333333"/>
          <w:spacing w:val="0"/>
          <w:sz w:val="30"/>
          <w:szCs w:val="30"/>
          <w:shd w:val="clear" w:fill="FFFFFF"/>
          <w:lang w:val="en-US" w:eastAsia="zh-CN"/>
        </w:rPr>
        <w:t>34.07</w:t>
      </w:r>
      <w:r>
        <w:rPr>
          <w:rFonts w:hint="eastAsia" w:ascii="仿宋" w:hAnsi="仿宋" w:eastAsia="仿宋" w:cs="仿宋"/>
          <w:i w:val="0"/>
          <w:iCs w:val="0"/>
          <w:caps w:val="0"/>
          <w:color w:val="333333"/>
          <w:spacing w:val="0"/>
          <w:sz w:val="30"/>
          <w:szCs w:val="30"/>
          <w:shd w:val="clear" w:fill="FFFFFF"/>
        </w:rPr>
        <w:t>万元。</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leftChars="0" w:right="0" w:rightChars="0" w:firstLine="0" w:firstLineChars="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当年部门履职总体目标、工作任务。</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right="0" w:rightChars="0" w:firstLine="600" w:firstLineChars="20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20</w:t>
      </w:r>
      <w:r>
        <w:rPr>
          <w:rFonts w:hint="eastAsia" w:ascii="仿宋" w:hAnsi="仿宋" w:eastAsia="仿宋" w:cs="仿宋"/>
          <w:i w:val="0"/>
          <w:iCs w:val="0"/>
          <w:caps w:val="0"/>
          <w:color w:val="333333"/>
          <w:spacing w:val="0"/>
          <w:sz w:val="30"/>
          <w:szCs w:val="30"/>
          <w:shd w:val="clear" w:fill="FFFFFF"/>
          <w:lang w:val="en-US" w:eastAsia="zh-CN"/>
        </w:rPr>
        <w:t>19</w:t>
      </w:r>
      <w:r>
        <w:rPr>
          <w:rFonts w:hint="eastAsia" w:ascii="仿宋" w:hAnsi="仿宋" w:eastAsia="仿宋" w:cs="仿宋"/>
          <w:i w:val="0"/>
          <w:iCs w:val="0"/>
          <w:caps w:val="0"/>
          <w:color w:val="333333"/>
          <w:spacing w:val="0"/>
          <w:sz w:val="30"/>
          <w:szCs w:val="30"/>
          <w:shd w:val="clear" w:fill="FFFFFF"/>
        </w:rPr>
        <w:t>年按照省、市、县水利部门有关水库工程管理的具体要求进一步认真贯彻落实《中共中央、国务院关于加快水利改革发展的决定》，以省委、省政府关于水利工作精神为指针，紧紧围绕全县经济和社会发展的大局，突出抓好水库工程管理这一中心工作，加快提升科技与信息化工作，加快水库除险加固工程工作步伐，加强和提高水库防汛能力，推进水库资源的开发和利用，加强饮用水源的安全管理，加强全局干部职工的党建政治思想教育，确保全年工作顺利完成。</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lang w:eastAsia="zh-CN"/>
        </w:rPr>
      </w:pPr>
      <w:r>
        <w:rPr>
          <w:rFonts w:hint="eastAsia" w:ascii="仿宋" w:hAnsi="仿宋" w:eastAsia="仿宋" w:cs="仿宋"/>
          <w:i w:val="0"/>
          <w:iCs w:val="0"/>
          <w:caps w:val="0"/>
          <w:color w:val="333333"/>
          <w:spacing w:val="0"/>
          <w:sz w:val="30"/>
          <w:szCs w:val="30"/>
          <w:shd w:val="clear" w:fill="FFFFFF"/>
        </w:rPr>
        <w:t>1、加强检查和观测，做好养护和维修</w:t>
      </w:r>
      <w:r>
        <w:rPr>
          <w:rFonts w:hint="eastAsia" w:ascii="仿宋" w:hAnsi="仿宋" w:eastAsia="仿宋" w:cs="仿宋"/>
          <w:i w:val="0"/>
          <w:iCs w:val="0"/>
          <w:caps w:val="0"/>
          <w:color w:val="333333"/>
          <w:spacing w:val="0"/>
          <w:sz w:val="30"/>
          <w:szCs w:val="30"/>
          <w:shd w:val="clear" w:fill="FFFFFF"/>
          <w:lang w:eastAsia="zh-CN"/>
        </w:rPr>
        <w:t>工作</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近年来，气候变化较大，我局干部职工将本着高度负责的态度战斗在防汛的第一线，做好汛前检查，汛期加强观测并与上级防汛部门密切配合，服从统一指挥调度。同时，对水库相关设施及时做好养护和维修，清除隐患，保持工程设备的完好状态和安全运行，以发挥其应有的作用。</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2、加强组织管理，完善防汛抢险</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对各个水库管理站实施“统一管理，分级负责”的管理制度，要求各管理站对所管辖的水库进行全面的检查和观测，确保工程安全和正常运行。同时牢固树立“防患未然”的安全意识，作好防汛前期的准备工作，防汛物资及时进入指定的区域。遇有险情时调动一切可以调动的力量防洪抗灾，以确保人民群众生命安全为首要目标，最大限度地降低洪涝灾害造成的损失。</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3、积极协助主管部门抓好各项工作</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我局全体干部职工将在党中央、国务院关于加快水利改革发展这一重大决定的春风下全心全意投入到工作中去，为县域经济的发展贡献自己应有的力量。</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leftChars="0" w:right="0" w:rightChars="0" w:firstLine="0" w:firstLineChars="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当年部门年度整体支出绩效目标。</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加强预算收支管理，不断建立健全内部管理制度，梳理内部管理流程，提升部门整体支出管理水平，确保达到年初确定的20</w:t>
      </w:r>
      <w:r>
        <w:rPr>
          <w:rFonts w:hint="eastAsia" w:ascii="仿宋" w:hAnsi="仿宋" w:eastAsia="仿宋" w:cs="仿宋"/>
          <w:i w:val="0"/>
          <w:iCs w:val="0"/>
          <w:caps w:val="0"/>
          <w:color w:val="333333"/>
          <w:spacing w:val="0"/>
          <w:sz w:val="30"/>
          <w:szCs w:val="30"/>
          <w:shd w:val="clear" w:fill="FFFFFF"/>
          <w:lang w:val="en-US" w:eastAsia="zh-CN"/>
        </w:rPr>
        <w:t>19</w:t>
      </w:r>
      <w:r>
        <w:rPr>
          <w:rFonts w:hint="eastAsia" w:ascii="仿宋" w:hAnsi="仿宋" w:eastAsia="仿宋" w:cs="仿宋"/>
          <w:i w:val="0"/>
          <w:iCs w:val="0"/>
          <w:caps w:val="0"/>
          <w:color w:val="333333"/>
          <w:spacing w:val="0"/>
          <w:sz w:val="30"/>
          <w:szCs w:val="30"/>
          <w:shd w:val="clear" w:fill="FFFFFF"/>
        </w:rPr>
        <w:t>年部门整体支出绩效目标：确保按时高质量完成全年各项工作任务，发挥水库应有的经济效益、社会效益和生态效益。</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leftChars="0" w:right="0" w:rightChars="0" w:firstLine="0" w:firstLineChars="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部门预算绩效管理开展情况。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1、</w:t>
      </w:r>
      <w:r>
        <w:rPr>
          <w:rFonts w:hint="eastAsia" w:ascii="仿宋" w:hAnsi="仿宋" w:eastAsia="仿宋" w:cs="仿宋"/>
          <w:i w:val="0"/>
          <w:iCs w:val="0"/>
          <w:caps w:val="0"/>
          <w:color w:val="333333"/>
          <w:spacing w:val="0"/>
          <w:sz w:val="30"/>
          <w:szCs w:val="30"/>
          <w:shd w:val="clear" w:fill="FFFFFF"/>
        </w:rPr>
        <w:t>根据预算绩效管理要求，我部门组织对20</w:t>
      </w:r>
      <w:r>
        <w:rPr>
          <w:rFonts w:hint="eastAsia" w:ascii="仿宋" w:hAnsi="仿宋" w:eastAsia="仿宋" w:cs="仿宋"/>
          <w:i w:val="0"/>
          <w:iCs w:val="0"/>
          <w:caps w:val="0"/>
          <w:color w:val="333333"/>
          <w:spacing w:val="0"/>
          <w:sz w:val="30"/>
          <w:szCs w:val="30"/>
          <w:shd w:val="clear" w:fill="FFFFFF"/>
          <w:lang w:val="en-US" w:eastAsia="zh-CN"/>
        </w:rPr>
        <w:t>19</w:t>
      </w:r>
      <w:r>
        <w:rPr>
          <w:rFonts w:hint="eastAsia" w:ascii="仿宋" w:hAnsi="仿宋" w:eastAsia="仿宋" w:cs="仿宋"/>
          <w:i w:val="0"/>
          <w:iCs w:val="0"/>
          <w:caps w:val="0"/>
          <w:color w:val="333333"/>
          <w:spacing w:val="0"/>
          <w:sz w:val="30"/>
          <w:szCs w:val="30"/>
          <w:shd w:val="clear" w:fill="FFFFFF"/>
        </w:rPr>
        <w:t>年度</w:t>
      </w:r>
      <w:r>
        <w:rPr>
          <w:rFonts w:hint="eastAsia" w:ascii="仿宋" w:hAnsi="仿宋" w:eastAsia="仿宋" w:cs="仿宋"/>
          <w:i w:val="0"/>
          <w:iCs w:val="0"/>
          <w:caps w:val="0"/>
          <w:color w:val="333333"/>
          <w:spacing w:val="0"/>
          <w:sz w:val="30"/>
          <w:szCs w:val="30"/>
          <w:shd w:val="clear" w:fill="FFFFFF"/>
          <w:lang w:eastAsia="zh-CN"/>
        </w:rPr>
        <w:t>一般公共预算项目支出全面开展绩效自评，其中一级项目一个，二级项目</w:t>
      </w:r>
      <w:r>
        <w:rPr>
          <w:rFonts w:hint="eastAsia" w:ascii="仿宋" w:hAnsi="仿宋" w:eastAsia="仿宋" w:cs="仿宋"/>
          <w:i w:val="0"/>
          <w:iCs w:val="0"/>
          <w:caps w:val="0"/>
          <w:color w:val="333333"/>
          <w:spacing w:val="0"/>
          <w:sz w:val="30"/>
          <w:szCs w:val="30"/>
          <w:shd w:val="clear" w:fill="FFFFFF"/>
          <w:lang w:val="en-US" w:eastAsia="zh-CN"/>
        </w:rPr>
        <w:t>0个，共涉及资金100万元。自评得分</w:t>
      </w:r>
      <w:r>
        <w:rPr>
          <w:rFonts w:hint="eastAsia" w:ascii="仿宋" w:hAnsi="仿宋" w:eastAsia="仿宋" w:cs="仿宋"/>
          <w:i w:val="0"/>
          <w:iCs w:val="0"/>
          <w:caps w:val="0"/>
          <w:color w:val="333333"/>
          <w:spacing w:val="0"/>
          <w:sz w:val="30"/>
          <w:szCs w:val="30"/>
          <w:highlight w:val="none"/>
          <w:shd w:val="clear" w:fill="FFFFFF"/>
          <w:lang w:val="en-US" w:eastAsia="zh-CN"/>
        </w:rPr>
        <w:t>99.6</w:t>
      </w:r>
      <w:r>
        <w:rPr>
          <w:rFonts w:hint="eastAsia" w:ascii="仿宋" w:hAnsi="仿宋" w:eastAsia="仿宋" w:cs="仿宋"/>
          <w:i w:val="0"/>
          <w:iCs w:val="0"/>
          <w:caps w:val="0"/>
          <w:color w:val="333333"/>
          <w:spacing w:val="0"/>
          <w:sz w:val="30"/>
          <w:szCs w:val="30"/>
          <w:shd w:val="clear" w:fill="FFFFFF"/>
          <w:lang w:val="en-US" w:eastAsia="zh-CN"/>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00"/>
        <w:jc w:val="left"/>
        <w:rPr>
          <w:rFonts w:hint="eastAsia" w:ascii="仿宋" w:hAnsi="仿宋" w:eastAsia="仿宋" w:cs="仿宋"/>
          <w:i w:val="0"/>
          <w:iCs w:val="0"/>
          <w:caps w:val="0"/>
          <w:color w:val="333333"/>
          <w:spacing w:val="0"/>
          <w:sz w:val="30"/>
          <w:szCs w:val="30"/>
          <w:highlight w:val="red"/>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2、整体支出绩效自评开展情况：本部门2019年度收入总计365.51万元，其中年初结转和结余69.22万元；本年收入合计296.29万元。本年收入的具体构成为：财政拨款收入239.92万元，占81.0%；事业收入0万元，占0%；经营收入0万元，占0%；其他收入56.38万元，占19.0%。 本部门2019年度支出总计365.51万元，其中本年支出合计   274.56万元，年末结转和结余90.94万元。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00" w:firstLineChars="2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本部门2019年度一般公共预算财政拨款基本支出187.1万元，其中：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00" w:firstLineChars="200"/>
        <w:jc w:val="left"/>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lang w:val="en-US" w:eastAsia="zh-CN"/>
        </w:rPr>
        <w:t>（1）工资福利支出169.89万元，商品和服务支出16.63万元，对个人和家庭补助支出0.58万元。</w:t>
      </w:r>
      <w:r>
        <w:rPr>
          <w:rFonts w:hint="eastAsia" w:ascii="仿宋" w:hAnsi="仿宋" w:eastAsia="仿宋" w:cs="仿宋"/>
          <w:i w:val="0"/>
          <w:iCs w:val="0"/>
          <w:caps w:val="0"/>
          <w:color w:val="333333"/>
          <w:spacing w:val="0"/>
          <w:sz w:val="30"/>
          <w:szCs w:val="30"/>
          <w:shd w:val="clear" w:fill="FFFFFF"/>
          <w:lang w:val="en-US" w:eastAsia="zh-CN"/>
        </w:rPr>
        <w:br w:type="textWrapping"/>
      </w:r>
      <w:r>
        <w:rPr>
          <w:rFonts w:hint="eastAsia" w:ascii="仿宋" w:hAnsi="仿宋" w:eastAsia="仿宋" w:cs="仿宋"/>
          <w:i w:val="0"/>
          <w:iCs w:val="0"/>
          <w:caps w:val="0"/>
          <w:color w:val="333333"/>
          <w:spacing w:val="0"/>
          <w:sz w:val="30"/>
          <w:szCs w:val="30"/>
          <w:shd w:val="clear" w:fill="FFFFFF"/>
          <w:lang w:val="en-US" w:eastAsia="zh-CN"/>
        </w:rPr>
        <w:t xml:space="preserve">    （2）一般公共预算财政拨款“三公”经费支出4.55万元。</w:t>
      </w:r>
      <w:r>
        <w:rPr>
          <w:rFonts w:hint="eastAsia" w:ascii="仿宋" w:hAnsi="仿宋" w:eastAsia="仿宋" w:cs="仿宋"/>
          <w:i w:val="0"/>
          <w:iCs w:val="0"/>
          <w:caps w:val="0"/>
          <w:color w:val="333333"/>
          <w:spacing w:val="0"/>
          <w:sz w:val="30"/>
          <w:szCs w:val="30"/>
          <w:shd w:val="clear" w:fill="FFFFFF"/>
        </w:rPr>
        <w:t>    </w:t>
      </w:r>
      <w:r>
        <w:rPr>
          <w:rFonts w:hint="eastAsia" w:ascii="仿宋" w:hAnsi="仿宋" w:eastAsia="仿宋" w:cs="仿宋"/>
          <w:i w:val="0"/>
          <w:iCs w:val="0"/>
          <w:caps w:val="0"/>
          <w:color w:val="333333"/>
          <w:spacing w:val="0"/>
          <w:sz w:val="30"/>
          <w:szCs w:val="30"/>
          <w:shd w:val="clear" w:fill="FFFFFF"/>
          <w:lang w:eastAsia="zh-CN"/>
        </w:rPr>
        <w:t>部门整体</w:t>
      </w:r>
      <w:r>
        <w:rPr>
          <w:rFonts w:hint="eastAsia" w:ascii="仿宋" w:hAnsi="仿宋" w:eastAsia="仿宋" w:cs="仿宋"/>
          <w:i w:val="0"/>
          <w:iCs w:val="0"/>
          <w:caps w:val="0"/>
          <w:color w:val="333333"/>
          <w:spacing w:val="0"/>
          <w:sz w:val="30"/>
          <w:szCs w:val="30"/>
          <w:shd w:val="clear" w:fill="FFFFFF"/>
        </w:rPr>
        <w:t>支出绩效</w:t>
      </w:r>
      <w:r>
        <w:rPr>
          <w:rFonts w:hint="eastAsia" w:ascii="仿宋" w:hAnsi="仿宋" w:eastAsia="仿宋" w:cs="仿宋"/>
          <w:i w:val="0"/>
          <w:iCs w:val="0"/>
          <w:caps w:val="0"/>
          <w:color w:val="333333"/>
          <w:spacing w:val="0"/>
          <w:sz w:val="30"/>
          <w:szCs w:val="30"/>
          <w:shd w:val="clear" w:fill="FFFFFF"/>
          <w:lang w:eastAsia="zh-CN"/>
        </w:rPr>
        <w:t>评价</w:t>
      </w:r>
      <w:r>
        <w:rPr>
          <w:rFonts w:hint="eastAsia" w:ascii="仿宋" w:hAnsi="仿宋" w:eastAsia="仿宋" w:cs="仿宋"/>
          <w:i w:val="0"/>
          <w:iCs w:val="0"/>
          <w:caps w:val="0"/>
          <w:color w:val="333333"/>
          <w:spacing w:val="0"/>
          <w:sz w:val="30"/>
          <w:szCs w:val="30"/>
          <w:shd w:val="clear" w:fill="FFFFFF"/>
        </w:rPr>
        <w:t>主要从</w:t>
      </w:r>
      <w:r>
        <w:rPr>
          <w:rFonts w:hint="eastAsia" w:ascii="仿宋" w:hAnsi="仿宋" w:eastAsia="仿宋" w:cs="仿宋"/>
          <w:i w:val="0"/>
          <w:iCs w:val="0"/>
          <w:caps w:val="0"/>
          <w:color w:val="333333"/>
          <w:spacing w:val="0"/>
          <w:sz w:val="30"/>
          <w:szCs w:val="30"/>
          <w:shd w:val="clear" w:fill="FFFFFF"/>
          <w:lang w:eastAsia="zh-CN"/>
        </w:rPr>
        <w:t>部门的</w:t>
      </w:r>
      <w:r>
        <w:rPr>
          <w:rFonts w:hint="eastAsia" w:ascii="仿宋" w:hAnsi="仿宋" w:eastAsia="仿宋" w:cs="仿宋"/>
          <w:i w:val="0"/>
          <w:iCs w:val="0"/>
          <w:caps w:val="0"/>
          <w:color w:val="333333"/>
          <w:spacing w:val="0"/>
          <w:sz w:val="30"/>
          <w:szCs w:val="30"/>
          <w:shd w:val="clear" w:fill="FFFFFF"/>
        </w:rPr>
        <w:t>履职效能</w:t>
      </w:r>
      <w:r>
        <w:rPr>
          <w:rFonts w:hint="eastAsia" w:ascii="仿宋" w:hAnsi="仿宋" w:eastAsia="仿宋" w:cs="仿宋"/>
          <w:i w:val="0"/>
          <w:iCs w:val="0"/>
          <w:caps w:val="0"/>
          <w:color w:val="333333"/>
          <w:spacing w:val="0"/>
          <w:sz w:val="30"/>
          <w:szCs w:val="30"/>
          <w:shd w:val="clear" w:fill="FFFFFF"/>
          <w:lang w:eastAsia="zh-CN"/>
        </w:rPr>
        <w:t>、管理效率、服务满意、可持续性</w:t>
      </w:r>
      <w:r>
        <w:rPr>
          <w:rFonts w:hint="eastAsia" w:ascii="仿宋" w:hAnsi="仿宋" w:eastAsia="仿宋" w:cs="仿宋"/>
          <w:i w:val="0"/>
          <w:iCs w:val="0"/>
          <w:caps w:val="0"/>
          <w:color w:val="333333"/>
          <w:spacing w:val="0"/>
          <w:sz w:val="30"/>
          <w:szCs w:val="30"/>
          <w:shd w:val="clear" w:fill="FFFFFF"/>
        </w:rPr>
        <w:t>等方面进行量化、具体分析</w:t>
      </w:r>
      <w:r>
        <w:rPr>
          <w:rFonts w:hint="eastAsia" w:ascii="仿宋" w:hAnsi="仿宋" w:eastAsia="仿宋" w:cs="仿宋"/>
          <w:i w:val="0"/>
          <w:iCs w:val="0"/>
          <w:caps w:val="0"/>
          <w:color w:val="333333"/>
          <w:spacing w:val="0"/>
          <w:sz w:val="30"/>
          <w:szCs w:val="30"/>
          <w:shd w:val="clear" w:fill="FFFFFF"/>
          <w:lang w:eastAsia="zh-CN"/>
        </w:rPr>
        <w:t>。</w:t>
      </w:r>
      <w:r>
        <w:rPr>
          <w:rFonts w:hint="eastAsia" w:ascii="仿宋" w:hAnsi="仿宋" w:eastAsia="仿宋" w:cs="仿宋"/>
          <w:i w:val="0"/>
          <w:iCs w:val="0"/>
          <w:caps w:val="0"/>
          <w:color w:val="333333"/>
          <w:spacing w:val="0"/>
          <w:sz w:val="30"/>
          <w:szCs w:val="30"/>
          <w:shd w:val="clear" w:fill="FFFFFF"/>
        </w:rPr>
        <w:t>自评</w:t>
      </w:r>
      <w:r>
        <w:rPr>
          <w:rFonts w:hint="eastAsia" w:ascii="仿宋" w:hAnsi="仿宋" w:eastAsia="仿宋" w:cs="仿宋"/>
          <w:i w:val="0"/>
          <w:iCs w:val="0"/>
          <w:caps w:val="0"/>
          <w:color w:val="333333"/>
          <w:spacing w:val="0"/>
          <w:sz w:val="30"/>
          <w:szCs w:val="30"/>
          <w:shd w:val="clear" w:fill="FFFFFF"/>
          <w:lang w:eastAsia="zh-CN"/>
        </w:rPr>
        <w:t>得分</w:t>
      </w:r>
      <w:r>
        <w:rPr>
          <w:rFonts w:hint="eastAsia" w:ascii="仿宋" w:hAnsi="仿宋" w:eastAsia="仿宋" w:cs="仿宋"/>
          <w:i w:val="0"/>
          <w:iCs w:val="0"/>
          <w:caps w:val="0"/>
          <w:color w:val="333333"/>
          <w:spacing w:val="0"/>
          <w:sz w:val="30"/>
          <w:szCs w:val="30"/>
          <w:shd w:val="clear" w:fill="FFFFFF"/>
          <w:lang w:val="en-US" w:eastAsia="zh-CN"/>
        </w:rPr>
        <w:t>93.5分</w:t>
      </w:r>
      <w:r>
        <w:rPr>
          <w:rFonts w:hint="eastAsia" w:ascii="仿宋" w:hAnsi="仿宋" w:eastAsia="仿宋" w:cs="仿宋"/>
          <w:i w:val="0"/>
          <w:iCs w:val="0"/>
          <w:caps w:val="0"/>
          <w:color w:val="333333"/>
          <w:spacing w:val="0"/>
          <w:sz w:val="30"/>
          <w:szCs w:val="30"/>
          <w:shd w:val="clear" w:fill="FFFFFF"/>
        </w:rPr>
        <w:t>。</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leftChars="0" w:right="0" w:firstLine="0" w:firstLineChars="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部门整体支出绩效实现情况</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0" w:right="0" w:rightChars="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履职完成情况：</w:t>
      </w:r>
    </w:p>
    <w:p>
      <w:pPr>
        <w:tabs>
          <w:tab w:val="left" w:pos="5281"/>
        </w:tabs>
        <w:bidi w:val="0"/>
        <w:jc w:val="left"/>
        <w:rPr>
          <w:rFonts w:hint="eastAsia"/>
          <w:lang w:val="en-US" w:eastAsia="zh-CN"/>
        </w:rPr>
      </w:pPr>
      <w:r>
        <w:rPr>
          <w:rFonts w:hint="eastAsia"/>
          <w:lang w:val="en-US" w:eastAsia="zh-CN"/>
        </w:rPr>
        <w:tab/>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right="0" w:rightChars="0" w:firstLine="600" w:firstLineChars="2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2019年度我局在上级的正确领导下，在全局干部职工共同努力下，按时按质完成了本年度各项工作任务，最大程度发挥了水库的应有效益。</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0" w:leftChars="0" w:right="0" w:rightChars="0" w:firstLine="0" w:firstLineChars="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履职效果情况：</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我局辖属三座水库，社会效益、经济效益、生态效益显著： 油罗口水库是一座以防洪为主，保障供水、调节灌溉、兼顾发电等综合利用的大（二）型水利枢纽工程，是章水流域的控制性工程。坝址集雨面积557平方公里，水库总库容1.10亿立米,最大坝高36.26米，设计防洪保护人口10万人、农田3.8万亩，电站装机6000千瓦，多年平均发电量2416万千瓦时；跃进水库坝址控制集水面积60.5平方公里，水库总库容1248万m3,是一座以灌溉为主，结合防洪、发电、养殖等综合利用的中型水利枢纽工程。水库设计灌溉面积3.2万亩，规划设计三个梯级电站，总装机1240KW，已建一、三级电站，装机达840KW。保护农田5万亩，人口8万；垅涧里水库位于大余县东北部，坝址座落于章水支流漂塘河中游的垅涧里峡谷处，控制集水面积51.1平方公里，工程以灌溉为主，兼有防洪、发电、养鱼等综合利用。总装机830千瓦（其中二级站200千瓦）。年发电量320.5万千瓦时，保护农田3000余亩。</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0" w:leftChars="0" w:right="0" w:rightChars="0" w:firstLine="0" w:firstLineChars="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部门整体支出绩效中存在问题及改进措施</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Chars="0" w:right="0" w:rightChars="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主要问题及原因分析</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right="0" w:rightChars="0" w:firstLine="600" w:firstLineChars="2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1、绩效评价体系还不完善。虽然财政资金全覆盖都进行了绩效评价，但是评价的内容、指标和标准设计、绩效评价的操作规程等工作大部分是由财务部门完成，业务部门参与度不高，可能导致评价指标、标准设计不合理。</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2、对绩效评价工作的认识不足。部分单位领导及工作人员对绩效评价不了解，对单位绩效不够重视，简单的将绩效评价等同于审计评价，着重于分析查找遵守财经法纪及财务管理方面的问题和原因，而对收集绩效评价方面的工作资料感觉无从下手，往往只能提供有限的财务资料或简单的工作总结。</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0" w:leftChars="0" w:right="0" w:rightChars="0" w:firstLine="0" w:firstLineChars="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改进的方向和具体措施</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1、完善绩效评价工作制度。政府部门应该自上而下增强绩效管理责任意识，把绩效自评、绩效管理等工作纳入常态，建立和完善财政支出绩效评价相关制度。</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2、建立科学的绩效评价指标体系和评价标准。在进行绩效评价时，要以定量分析为主，定性分析为辅。定量分析建立在支出项目的财务数据采集分析上，定性分析通过对项目支出的全面、综合因素分析，结合相关业务部门的意见，与定量分析共同评价支出项目的效果，以更加合理、准确地反映支出的实际绩效。</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Chars="0" w:right="0" w:rightChars="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四、绩效自评结果拟应用和公开情况</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89"/>
        </w:tabs>
        <w:spacing w:before="0" w:beforeAutospacing="0" w:after="0" w:afterAutospacing="0" w:line="18" w:lineRule="atLeast"/>
        <w:ind w:leftChars="0" w:right="0" w:rightChars="0" w:firstLine="600" w:firstLineChars="200"/>
        <w:jc w:val="left"/>
        <w:rPr>
          <w:rFonts w:hint="eastAsia"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将绩效评价结果作为改进预算管理和安排以后年度预算的重要依据。对绩效评价发现的问题，将认真整改，举一反三，努力提高财政资金使用绩效。按规定将绩效自评结果随同部门决算一同公开。</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Chars="200" w:right="0" w:rightChars="0"/>
        <w:jc w:val="left"/>
        <w:rPr>
          <w:rFonts w:hint="eastAsia" w:ascii="仿宋" w:hAnsi="仿宋" w:eastAsia="仿宋" w:cs="仿宋"/>
          <w:i w:val="0"/>
          <w:iCs w:val="0"/>
          <w:caps w:val="0"/>
          <w:color w:val="333333"/>
          <w:spacing w:val="0"/>
          <w:sz w:val="30"/>
          <w:szCs w:val="30"/>
          <w:shd w:val="clear" w:fill="FFFFFF"/>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p>
    <w:p>
      <w:pPr>
        <w:rPr>
          <w:rFonts w:hint="default"/>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6294A9"/>
    <w:multiLevelType w:val="singleLevel"/>
    <w:tmpl w:val="186294A9"/>
    <w:lvl w:ilvl="0" w:tentative="0">
      <w:start w:val="1"/>
      <w:numFmt w:val="chineseCounting"/>
      <w:suff w:val="nothing"/>
      <w:lvlText w:val="%1、"/>
      <w:lvlJc w:val="left"/>
      <w:rPr>
        <w:rFonts w:hint="eastAsia"/>
      </w:rPr>
    </w:lvl>
  </w:abstractNum>
  <w:abstractNum w:abstractNumId="1">
    <w:nsid w:val="3109A55D"/>
    <w:multiLevelType w:val="singleLevel"/>
    <w:tmpl w:val="3109A55D"/>
    <w:lvl w:ilvl="0" w:tentative="0">
      <w:start w:val="1"/>
      <w:numFmt w:val="chineseCounting"/>
      <w:suff w:val="nothing"/>
      <w:lvlText w:val="（%1）"/>
      <w:lvlJc w:val="left"/>
      <w:rPr>
        <w:rFonts w:hint="eastAsia"/>
      </w:rPr>
    </w:lvl>
  </w:abstractNum>
  <w:abstractNum w:abstractNumId="2">
    <w:nsid w:val="3E6B9CF8"/>
    <w:multiLevelType w:val="singleLevel"/>
    <w:tmpl w:val="3E6B9CF8"/>
    <w:lvl w:ilvl="0" w:tentative="0">
      <w:start w:val="1"/>
      <w:numFmt w:val="chineseCounting"/>
      <w:suff w:val="nothing"/>
      <w:lvlText w:val="（%1）"/>
      <w:lvlJc w:val="left"/>
      <w:rPr>
        <w:rFonts w:hint="eastAsia"/>
      </w:rPr>
    </w:lvl>
  </w:abstractNum>
  <w:abstractNum w:abstractNumId="3">
    <w:nsid w:val="67C86A5F"/>
    <w:multiLevelType w:val="singleLevel"/>
    <w:tmpl w:val="67C86A5F"/>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5AE4"/>
    <w:rsid w:val="00A26873"/>
    <w:rsid w:val="00DA5AE4"/>
    <w:rsid w:val="00F75B42"/>
    <w:rsid w:val="01966339"/>
    <w:rsid w:val="076E018C"/>
    <w:rsid w:val="0D4D3DDB"/>
    <w:rsid w:val="0D77087E"/>
    <w:rsid w:val="10C608A7"/>
    <w:rsid w:val="18C06B15"/>
    <w:rsid w:val="195D7AC8"/>
    <w:rsid w:val="1EBF3C10"/>
    <w:rsid w:val="215F7687"/>
    <w:rsid w:val="22810EAD"/>
    <w:rsid w:val="2A9829AF"/>
    <w:rsid w:val="2A9946E6"/>
    <w:rsid w:val="2DF8643E"/>
    <w:rsid w:val="2F3A5A93"/>
    <w:rsid w:val="30AB6B41"/>
    <w:rsid w:val="33E93DD8"/>
    <w:rsid w:val="39A67E87"/>
    <w:rsid w:val="3FEA4C68"/>
    <w:rsid w:val="410630DF"/>
    <w:rsid w:val="45482A12"/>
    <w:rsid w:val="481F0FBB"/>
    <w:rsid w:val="5373116B"/>
    <w:rsid w:val="596507AB"/>
    <w:rsid w:val="5F2B3D8D"/>
    <w:rsid w:val="64EC4613"/>
    <w:rsid w:val="690E183B"/>
    <w:rsid w:val="6B4A07A9"/>
    <w:rsid w:val="779F72B5"/>
    <w:rsid w:val="79016683"/>
    <w:rsid w:val="796033CD"/>
    <w:rsid w:val="7A8B554E"/>
    <w:rsid w:val="7BC20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Words>
  <Characters>67</Characters>
  <Lines>1</Lines>
  <Paragraphs>1</Paragraphs>
  <TotalTime>12</TotalTime>
  <ScaleCrop>false</ScaleCrop>
  <LinksUpToDate>false</LinksUpToDate>
  <CharactersWithSpaces>77</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2019-06-19T03:23:00Z</dcterms:created>
  <dc:creator>Administrator</dc:creator>
  <cp:lastModifiedBy>唐宏</cp:lastModifiedBy>
  <dcterms:modified xsi:type="dcterms:W3CDTF">2021-05-17T01:49:37Z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2D1DEFAA4E2C4984809AB0045756D28B</vt:lpwstr>
  </property>
</Properties>
</file>