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黑体" w:eastAsia="黑体"/>
          <w:color w:val="auto"/>
          <w:sz w:val="44"/>
          <w:szCs w:val="36"/>
        </w:rPr>
      </w:pPr>
      <w:r>
        <w:rPr>
          <w:rFonts w:hint="eastAsia" w:ascii="黑体" w:hAnsi="黑体" w:eastAsia="黑体"/>
          <w:color w:val="auto"/>
          <w:sz w:val="44"/>
          <w:szCs w:val="36"/>
          <w:lang w:eastAsia="zh-CN"/>
        </w:rPr>
        <w:t>信访局</w:t>
      </w:r>
      <w:r>
        <w:rPr>
          <w:rFonts w:hint="eastAsia" w:ascii="黑体" w:hAnsi="黑体" w:eastAsia="黑体"/>
          <w:color w:val="auto"/>
          <w:sz w:val="44"/>
          <w:szCs w:val="36"/>
        </w:rPr>
        <w:t>部门</w:t>
      </w:r>
      <w:r>
        <w:rPr>
          <w:rFonts w:hint="eastAsia" w:ascii="黑体" w:eastAsia="黑体"/>
          <w:color w:val="auto"/>
          <w:sz w:val="44"/>
          <w:szCs w:val="36"/>
        </w:rPr>
        <w:t>201</w:t>
      </w:r>
      <w:r>
        <w:rPr>
          <w:rFonts w:hint="eastAsia" w:ascii="黑体" w:eastAsia="黑体"/>
          <w:color w:val="auto"/>
          <w:sz w:val="44"/>
          <w:szCs w:val="36"/>
          <w:lang w:val="en-US" w:eastAsia="zh-CN"/>
        </w:rPr>
        <w:t>9</w:t>
      </w:r>
      <w:r>
        <w:rPr>
          <w:rFonts w:hint="eastAsia" w:ascii="黑体" w:eastAsia="黑体"/>
          <w:color w:val="auto"/>
          <w:sz w:val="44"/>
          <w:szCs w:val="36"/>
        </w:rPr>
        <w:t>年度部门决算</w:t>
      </w:r>
    </w:p>
    <w:p>
      <w:pPr>
        <w:spacing w:line="600" w:lineRule="exact"/>
        <w:jc w:val="center"/>
        <w:rPr>
          <w:rFonts w:ascii="黑体" w:eastAsia="黑体"/>
          <w:color w:val="auto"/>
          <w:sz w:val="44"/>
          <w:szCs w:val="36"/>
        </w:rPr>
      </w:pPr>
    </w:p>
    <w:p>
      <w:pPr>
        <w:spacing w:line="600" w:lineRule="exact"/>
        <w:jc w:val="center"/>
        <w:rPr>
          <w:rFonts w:ascii="黑体" w:eastAsia="黑体"/>
          <w:color w:val="auto"/>
          <w:sz w:val="40"/>
          <w:szCs w:val="36"/>
        </w:rPr>
      </w:pPr>
      <w:r>
        <w:rPr>
          <w:rFonts w:hint="eastAsia" w:ascii="黑体" w:eastAsia="黑体"/>
          <w:color w:val="auto"/>
          <w:sz w:val="40"/>
          <w:szCs w:val="36"/>
        </w:rPr>
        <w:t xml:space="preserve">目    录  </w:t>
      </w:r>
    </w:p>
    <w:p>
      <w:pPr>
        <w:widowControl/>
        <w:spacing w:line="600" w:lineRule="exact"/>
        <w:ind w:firstLine="640"/>
        <w:jc w:val="left"/>
        <w:rPr>
          <w:rFonts w:ascii="仿宋_GB2312" w:eastAsia="仿宋_GB2312"/>
          <w:color w:val="auto"/>
          <w:sz w:val="32"/>
          <w:szCs w:val="30"/>
        </w:rPr>
      </w:pPr>
    </w:p>
    <w:p>
      <w:pPr>
        <w:widowControl/>
        <w:spacing w:line="600" w:lineRule="exact"/>
        <w:ind w:firstLine="640"/>
        <w:jc w:val="left"/>
        <w:rPr>
          <w:rFonts w:ascii="黑体" w:hAnsi="黑体" w:eastAsia="黑体"/>
          <w:b/>
          <w:color w:val="auto"/>
          <w:sz w:val="32"/>
          <w:szCs w:val="32"/>
        </w:rPr>
      </w:pPr>
      <w:r>
        <w:rPr>
          <w:rFonts w:hint="eastAsia" w:ascii="黑体" w:hAnsi="黑体" w:eastAsia="黑体"/>
          <w:b/>
          <w:color w:val="auto"/>
          <w:sz w:val="32"/>
          <w:szCs w:val="32"/>
        </w:rPr>
        <w:t xml:space="preserve">第一部分  </w:t>
      </w:r>
      <w:r>
        <w:rPr>
          <w:rFonts w:hint="eastAsia" w:ascii="黑体" w:hAnsi="黑体" w:eastAsia="黑体"/>
          <w:b/>
          <w:color w:val="auto"/>
          <w:sz w:val="32"/>
          <w:szCs w:val="32"/>
          <w:lang w:eastAsia="zh-CN"/>
        </w:rPr>
        <w:t>信访局</w:t>
      </w:r>
      <w:r>
        <w:rPr>
          <w:rFonts w:hint="eastAsia" w:ascii="黑体" w:hAnsi="黑体" w:eastAsia="黑体"/>
          <w:color w:val="auto"/>
          <w:sz w:val="32"/>
          <w:szCs w:val="32"/>
        </w:rPr>
        <w:t>部门</w:t>
      </w:r>
      <w:r>
        <w:rPr>
          <w:rFonts w:hint="eastAsia" w:ascii="黑体" w:hAnsi="黑体" w:eastAsia="黑体"/>
          <w:b/>
          <w:color w:val="auto"/>
          <w:sz w:val="32"/>
          <w:szCs w:val="32"/>
        </w:rPr>
        <w:t>概况</w:t>
      </w:r>
    </w:p>
    <w:p>
      <w:pPr>
        <w:widowControl/>
        <w:spacing w:line="600" w:lineRule="exact"/>
        <w:ind w:firstLine="640"/>
        <w:jc w:val="left"/>
        <w:rPr>
          <w:rFonts w:ascii="仿宋" w:hAnsi="仿宋" w:eastAsia="仿宋"/>
          <w:color w:val="auto"/>
          <w:sz w:val="32"/>
          <w:szCs w:val="30"/>
        </w:rPr>
      </w:pPr>
      <w:r>
        <w:rPr>
          <w:rFonts w:hint="eastAsia" w:ascii="仿宋_GB2312" w:eastAsia="仿宋_GB2312"/>
          <w:b/>
          <w:color w:val="auto"/>
          <w:sz w:val="32"/>
          <w:szCs w:val="30"/>
        </w:rPr>
        <w:t xml:space="preserve">    </w:t>
      </w:r>
      <w:r>
        <w:rPr>
          <w:rFonts w:hint="eastAsia" w:ascii="仿宋" w:hAnsi="仿宋" w:eastAsia="仿宋"/>
          <w:color w:val="auto"/>
          <w:sz w:val="32"/>
          <w:szCs w:val="30"/>
        </w:rPr>
        <w:t>一、部门主要职责</w:t>
      </w:r>
    </w:p>
    <w:p>
      <w:pPr>
        <w:widowControl/>
        <w:spacing w:line="600" w:lineRule="exact"/>
        <w:ind w:firstLine="640"/>
        <w:jc w:val="left"/>
        <w:rPr>
          <w:rFonts w:ascii="仿宋" w:hAnsi="仿宋" w:eastAsia="仿宋" w:cs="宋体"/>
          <w:color w:val="auto"/>
          <w:kern w:val="0"/>
          <w:sz w:val="32"/>
          <w:szCs w:val="32"/>
        </w:rPr>
      </w:pPr>
      <w:r>
        <w:rPr>
          <w:rFonts w:hint="eastAsia" w:ascii="仿宋" w:hAnsi="仿宋" w:eastAsia="仿宋" w:cs="宋体"/>
          <w:color w:val="auto"/>
          <w:kern w:val="0"/>
          <w:sz w:val="32"/>
          <w:szCs w:val="32"/>
        </w:rPr>
        <w:t xml:space="preserve">    二、部门基本情况</w:t>
      </w:r>
    </w:p>
    <w:p>
      <w:pPr>
        <w:widowControl/>
        <w:spacing w:line="600" w:lineRule="exact"/>
        <w:ind w:firstLine="640"/>
        <w:jc w:val="left"/>
        <w:rPr>
          <w:rFonts w:ascii="黑体" w:hAnsi="黑体" w:eastAsia="黑体"/>
          <w:color w:val="auto"/>
          <w:sz w:val="32"/>
          <w:szCs w:val="32"/>
        </w:rPr>
      </w:pPr>
      <w:r>
        <w:rPr>
          <w:rFonts w:hint="eastAsia" w:ascii="黑体" w:hAnsi="黑体" w:eastAsia="黑体"/>
          <w:color w:val="auto"/>
          <w:sz w:val="32"/>
          <w:szCs w:val="32"/>
        </w:rPr>
        <w:t>第二部分  201</w:t>
      </w:r>
      <w:r>
        <w:rPr>
          <w:rFonts w:hint="eastAsia" w:ascii="黑体" w:hAnsi="黑体" w:eastAsia="黑体"/>
          <w:color w:val="auto"/>
          <w:sz w:val="32"/>
          <w:szCs w:val="32"/>
          <w:lang w:val="en-US" w:eastAsia="zh-CN"/>
        </w:rPr>
        <w:t>9</w:t>
      </w:r>
      <w:r>
        <w:rPr>
          <w:rFonts w:hint="eastAsia" w:ascii="黑体" w:hAnsi="黑体" w:eastAsia="黑体"/>
          <w:color w:val="auto"/>
          <w:sz w:val="32"/>
          <w:szCs w:val="32"/>
        </w:rPr>
        <w:t>年度部门决算表</w:t>
      </w:r>
    </w:p>
    <w:p>
      <w:pPr>
        <w:widowControl/>
        <w:spacing w:line="600" w:lineRule="exact"/>
        <w:ind w:firstLine="1280" w:firstLineChars="400"/>
        <w:jc w:val="left"/>
        <w:rPr>
          <w:rFonts w:ascii="仿宋" w:hAnsi="仿宋" w:eastAsia="仿宋"/>
          <w:color w:val="auto"/>
          <w:sz w:val="32"/>
          <w:szCs w:val="30"/>
        </w:rPr>
      </w:pPr>
      <w:r>
        <w:rPr>
          <w:rFonts w:hint="eastAsia" w:ascii="仿宋" w:hAnsi="仿宋" w:eastAsia="仿宋"/>
          <w:color w:val="auto"/>
          <w:sz w:val="32"/>
          <w:szCs w:val="30"/>
        </w:rPr>
        <w:t>一、收入支出决算总表</w:t>
      </w:r>
    </w:p>
    <w:p>
      <w:pPr>
        <w:widowControl/>
        <w:spacing w:line="600" w:lineRule="exact"/>
        <w:ind w:firstLine="1280" w:firstLineChars="400"/>
        <w:jc w:val="left"/>
        <w:rPr>
          <w:rFonts w:ascii="仿宋" w:hAnsi="仿宋" w:eastAsia="仿宋"/>
          <w:color w:val="auto"/>
          <w:sz w:val="32"/>
          <w:szCs w:val="30"/>
        </w:rPr>
      </w:pPr>
      <w:r>
        <w:rPr>
          <w:rFonts w:hint="eastAsia" w:ascii="仿宋" w:hAnsi="仿宋" w:eastAsia="仿宋"/>
          <w:color w:val="auto"/>
          <w:sz w:val="32"/>
          <w:szCs w:val="30"/>
        </w:rPr>
        <w:t>二、收入决算表</w:t>
      </w:r>
    </w:p>
    <w:p>
      <w:pPr>
        <w:widowControl/>
        <w:spacing w:line="600" w:lineRule="exact"/>
        <w:ind w:firstLine="640"/>
        <w:jc w:val="left"/>
        <w:rPr>
          <w:rFonts w:ascii="仿宋" w:hAnsi="仿宋" w:eastAsia="仿宋" w:cs="宋体"/>
          <w:color w:val="auto"/>
          <w:kern w:val="0"/>
          <w:sz w:val="32"/>
          <w:szCs w:val="32"/>
        </w:rPr>
      </w:pPr>
      <w:r>
        <w:rPr>
          <w:rFonts w:hint="eastAsia" w:ascii="仿宋" w:hAnsi="仿宋" w:eastAsia="仿宋" w:cs="宋体"/>
          <w:color w:val="auto"/>
          <w:kern w:val="0"/>
          <w:sz w:val="32"/>
          <w:szCs w:val="32"/>
        </w:rPr>
        <w:t xml:space="preserve">    三、支出决算表</w:t>
      </w:r>
    </w:p>
    <w:p>
      <w:pPr>
        <w:widowControl/>
        <w:spacing w:line="600" w:lineRule="exact"/>
        <w:ind w:firstLine="640"/>
        <w:jc w:val="left"/>
        <w:rPr>
          <w:rFonts w:ascii="仿宋" w:hAnsi="仿宋" w:eastAsia="仿宋" w:cs="宋体"/>
          <w:color w:val="auto"/>
          <w:kern w:val="0"/>
          <w:sz w:val="32"/>
          <w:szCs w:val="32"/>
        </w:rPr>
      </w:pPr>
      <w:r>
        <w:rPr>
          <w:rFonts w:hint="eastAsia" w:ascii="仿宋" w:hAnsi="仿宋" w:eastAsia="仿宋" w:cs="宋体"/>
          <w:color w:val="auto"/>
          <w:kern w:val="0"/>
          <w:sz w:val="32"/>
          <w:szCs w:val="32"/>
        </w:rPr>
        <w:t xml:space="preserve">    四、财政拨款收入支出决算总表</w:t>
      </w:r>
    </w:p>
    <w:p>
      <w:pPr>
        <w:widowControl/>
        <w:spacing w:line="600" w:lineRule="exact"/>
        <w:ind w:firstLine="640"/>
        <w:jc w:val="left"/>
        <w:rPr>
          <w:rFonts w:ascii="仿宋" w:hAnsi="仿宋" w:eastAsia="仿宋" w:cs="宋体"/>
          <w:color w:val="auto"/>
          <w:kern w:val="0"/>
          <w:sz w:val="32"/>
          <w:szCs w:val="32"/>
        </w:rPr>
      </w:pPr>
      <w:r>
        <w:rPr>
          <w:rFonts w:hint="eastAsia" w:ascii="仿宋" w:hAnsi="仿宋" w:eastAsia="仿宋" w:cs="宋体"/>
          <w:color w:val="auto"/>
          <w:kern w:val="0"/>
          <w:sz w:val="32"/>
          <w:szCs w:val="32"/>
        </w:rPr>
        <w:t xml:space="preserve">    五、一般公共预算财政拨款支出决算表</w:t>
      </w:r>
    </w:p>
    <w:p>
      <w:pPr>
        <w:widowControl/>
        <w:spacing w:line="600" w:lineRule="exact"/>
        <w:ind w:firstLine="640"/>
        <w:jc w:val="left"/>
        <w:rPr>
          <w:rFonts w:ascii="仿宋" w:hAnsi="仿宋" w:eastAsia="仿宋" w:cs="宋体"/>
          <w:color w:val="auto"/>
          <w:kern w:val="0"/>
          <w:sz w:val="32"/>
          <w:szCs w:val="32"/>
        </w:rPr>
      </w:pPr>
      <w:r>
        <w:rPr>
          <w:rFonts w:hint="eastAsia" w:ascii="仿宋" w:hAnsi="仿宋" w:eastAsia="仿宋" w:cs="宋体"/>
          <w:color w:val="auto"/>
          <w:kern w:val="0"/>
          <w:sz w:val="32"/>
          <w:szCs w:val="32"/>
        </w:rPr>
        <w:t xml:space="preserve">    六、一般公共预算财政拨款基本支出决算表</w:t>
      </w:r>
    </w:p>
    <w:p>
      <w:pPr>
        <w:widowControl/>
        <w:spacing w:line="600" w:lineRule="exact"/>
        <w:ind w:firstLine="640"/>
        <w:jc w:val="left"/>
        <w:rPr>
          <w:rFonts w:ascii="仿宋" w:hAnsi="仿宋" w:eastAsia="仿宋" w:cs="宋体"/>
          <w:color w:val="auto"/>
          <w:kern w:val="0"/>
          <w:sz w:val="32"/>
          <w:szCs w:val="32"/>
        </w:rPr>
      </w:pPr>
      <w:r>
        <w:rPr>
          <w:rFonts w:hint="eastAsia" w:ascii="仿宋" w:hAnsi="仿宋" w:eastAsia="仿宋" w:cs="宋体"/>
          <w:color w:val="auto"/>
          <w:kern w:val="0"/>
          <w:sz w:val="32"/>
          <w:szCs w:val="32"/>
        </w:rPr>
        <w:t xml:space="preserve">    七、一般公共预算财政拨款“三公”经费支出决算</w:t>
      </w:r>
    </w:p>
    <w:p>
      <w:pPr>
        <w:widowControl/>
        <w:spacing w:line="600" w:lineRule="exact"/>
        <w:ind w:firstLine="640"/>
        <w:jc w:val="left"/>
        <w:rPr>
          <w:rFonts w:ascii="仿宋" w:hAnsi="仿宋" w:eastAsia="仿宋" w:cs="宋体"/>
          <w:color w:val="auto"/>
          <w:kern w:val="0"/>
          <w:sz w:val="32"/>
          <w:szCs w:val="32"/>
        </w:rPr>
      </w:pPr>
      <w:r>
        <w:rPr>
          <w:rFonts w:hint="eastAsia" w:ascii="仿宋" w:hAnsi="仿宋" w:eastAsia="仿宋" w:cs="宋体"/>
          <w:color w:val="auto"/>
          <w:kern w:val="0"/>
          <w:sz w:val="32"/>
          <w:szCs w:val="32"/>
        </w:rPr>
        <w:t>表</w:t>
      </w:r>
    </w:p>
    <w:p>
      <w:pPr>
        <w:widowControl/>
        <w:spacing w:line="600" w:lineRule="exact"/>
        <w:ind w:firstLine="640"/>
        <w:jc w:val="left"/>
        <w:rPr>
          <w:rFonts w:ascii="仿宋" w:hAnsi="仿宋" w:eastAsia="仿宋" w:cs="宋体"/>
          <w:color w:val="auto"/>
          <w:kern w:val="0"/>
          <w:sz w:val="32"/>
          <w:szCs w:val="32"/>
        </w:rPr>
      </w:pPr>
      <w:r>
        <w:rPr>
          <w:rFonts w:hint="eastAsia" w:ascii="仿宋" w:hAnsi="仿宋" w:eastAsia="仿宋" w:cs="宋体"/>
          <w:color w:val="auto"/>
          <w:kern w:val="0"/>
          <w:sz w:val="32"/>
          <w:szCs w:val="32"/>
        </w:rPr>
        <w:t xml:space="preserve">    八、政府性基金预算财政拨款收入支出决算表</w:t>
      </w:r>
    </w:p>
    <w:p>
      <w:pPr>
        <w:widowControl/>
        <w:spacing w:line="600" w:lineRule="exact"/>
        <w:ind w:firstLine="640"/>
        <w:jc w:val="left"/>
        <w:rPr>
          <w:rFonts w:ascii="仿宋" w:hAnsi="仿宋" w:eastAsia="仿宋" w:cs="宋体"/>
          <w:color w:val="auto"/>
          <w:kern w:val="0"/>
          <w:sz w:val="32"/>
          <w:szCs w:val="32"/>
        </w:rPr>
      </w:pPr>
      <w:r>
        <w:rPr>
          <w:rFonts w:hint="eastAsia" w:ascii="仿宋" w:hAnsi="仿宋" w:eastAsia="仿宋" w:cs="宋体"/>
          <w:color w:val="auto"/>
          <w:kern w:val="0"/>
          <w:sz w:val="32"/>
          <w:szCs w:val="32"/>
        </w:rPr>
        <w:t xml:space="preserve">    九、国有资产占用情况表</w:t>
      </w:r>
    </w:p>
    <w:p>
      <w:pPr>
        <w:widowControl/>
        <w:spacing w:line="600" w:lineRule="exact"/>
        <w:jc w:val="left"/>
        <w:rPr>
          <w:rFonts w:ascii="黑体" w:hAnsi="黑体" w:eastAsia="黑体"/>
          <w:color w:val="auto"/>
          <w:sz w:val="32"/>
          <w:szCs w:val="32"/>
        </w:rPr>
      </w:pPr>
      <w:r>
        <w:rPr>
          <w:rFonts w:hint="eastAsia" w:ascii="仿宋" w:hAnsi="仿宋" w:eastAsia="仿宋" w:cs="宋体"/>
          <w:color w:val="auto"/>
          <w:kern w:val="0"/>
          <w:sz w:val="32"/>
          <w:szCs w:val="32"/>
        </w:rPr>
        <w:t xml:space="preserve">    </w:t>
      </w:r>
      <w:r>
        <w:rPr>
          <w:rFonts w:hint="eastAsia" w:ascii="黑体" w:hAnsi="黑体" w:eastAsia="黑体"/>
          <w:color w:val="auto"/>
          <w:sz w:val="32"/>
          <w:szCs w:val="32"/>
        </w:rPr>
        <w:t>第三部分  201</w:t>
      </w:r>
      <w:r>
        <w:rPr>
          <w:rFonts w:hint="eastAsia" w:ascii="黑体" w:hAnsi="黑体" w:eastAsia="黑体"/>
          <w:color w:val="auto"/>
          <w:sz w:val="32"/>
          <w:szCs w:val="32"/>
          <w:lang w:val="en-US" w:eastAsia="zh-CN"/>
        </w:rPr>
        <w:t>9</w:t>
      </w:r>
      <w:r>
        <w:rPr>
          <w:rFonts w:hint="eastAsia" w:ascii="黑体" w:hAnsi="黑体" w:eastAsia="黑体"/>
          <w:color w:val="auto"/>
          <w:sz w:val="32"/>
          <w:szCs w:val="32"/>
        </w:rPr>
        <w:t>年度部门决算情况说明</w:t>
      </w:r>
    </w:p>
    <w:p>
      <w:pPr>
        <w:widowControl/>
        <w:spacing w:line="600" w:lineRule="exact"/>
        <w:ind w:firstLine="1280" w:firstLineChars="400"/>
        <w:jc w:val="left"/>
        <w:rPr>
          <w:rFonts w:ascii="仿宋" w:hAnsi="仿宋" w:eastAsia="仿宋"/>
          <w:color w:val="auto"/>
          <w:sz w:val="32"/>
          <w:szCs w:val="30"/>
        </w:rPr>
      </w:pPr>
      <w:r>
        <w:rPr>
          <w:rFonts w:hint="eastAsia" w:ascii="仿宋" w:hAnsi="仿宋" w:eastAsia="仿宋"/>
          <w:color w:val="auto"/>
          <w:sz w:val="32"/>
          <w:szCs w:val="30"/>
        </w:rPr>
        <w:t>一、收入决算情况说明</w:t>
      </w:r>
    </w:p>
    <w:p>
      <w:pPr>
        <w:widowControl/>
        <w:spacing w:line="600" w:lineRule="exact"/>
        <w:ind w:firstLine="1280" w:firstLineChars="400"/>
        <w:jc w:val="left"/>
        <w:rPr>
          <w:rFonts w:ascii="仿宋" w:hAnsi="仿宋" w:eastAsia="仿宋"/>
          <w:color w:val="auto"/>
          <w:sz w:val="32"/>
          <w:szCs w:val="30"/>
        </w:rPr>
      </w:pPr>
      <w:r>
        <w:rPr>
          <w:rFonts w:hint="eastAsia" w:ascii="仿宋" w:hAnsi="仿宋" w:eastAsia="仿宋"/>
          <w:color w:val="auto"/>
          <w:sz w:val="32"/>
          <w:szCs w:val="30"/>
        </w:rPr>
        <w:t>二、支出决算情况说明</w:t>
      </w:r>
    </w:p>
    <w:p>
      <w:pPr>
        <w:widowControl/>
        <w:spacing w:line="600" w:lineRule="exact"/>
        <w:ind w:firstLine="1280" w:firstLineChars="400"/>
        <w:jc w:val="left"/>
        <w:rPr>
          <w:rFonts w:ascii="仿宋" w:hAnsi="仿宋" w:eastAsia="仿宋"/>
          <w:color w:val="auto"/>
          <w:sz w:val="32"/>
          <w:szCs w:val="30"/>
        </w:rPr>
      </w:pPr>
      <w:r>
        <w:rPr>
          <w:rFonts w:hint="eastAsia" w:ascii="仿宋" w:hAnsi="仿宋" w:eastAsia="仿宋"/>
          <w:color w:val="auto"/>
          <w:sz w:val="32"/>
          <w:szCs w:val="30"/>
        </w:rPr>
        <w:t>三、财政拨款支出决算情况说明</w:t>
      </w:r>
    </w:p>
    <w:p>
      <w:pPr>
        <w:widowControl/>
        <w:spacing w:line="600" w:lineRule="exact"/>
        <w:ind w:firstLine="1280" w:firstLineChars="400"/>
        <w:jc w:val="left"/>
        <w:rPr>
          <w:rFonts w:ascii="仿宋" w:hAnsi="仿宋" w:eastAsia="仿宋"/>
          <w:color w:val="auto"/>
          <w:sz w:val="32"/>
          <w:szCs w:val="30"/>
        </w:rPr>
      </w:pPr>
      <w:r>
        <w:rPr>
          <w:rFonts w:hint="eastAsia" w:ascii="仿宋" w:hAnsi="仿宋" w:eastAsia="仿宋"/>
          <w:color w:val="auto"/>
          <w:sz w:val="32"/>
          <w:szCs w:val="30"/>
        </w:rPr>
        <w:t>四、一般公共预算财政拨款基本支出决算情况说明</w:t>
      </w:r>
    </w:p>
    <w:p>
      <w:pPr>
        <w:widowControl/>
        <w:spacing w:line="600" w:lineRule="exact"/>
        <w:ind w:firstLine="1280" w:firstLineChars="400"/>
        <w:jc w:val="left"/>
        <w:rPr>
          <w:rFonts w:ascii="仿宋" w:hAnsi="仿宋" w:eastAsia="仿宋"/>
          <w:color w:val="auto"/>
          <w:sz w:val="32"/>
          <w:szCs w:val="30"/>
        </w:rPr>
      </w:pPr>
      <w:r>
        <w:rPr>
          <w:rFonts w:hint="eastAsia" w:ascii="仿宋" w:hAnsi="仿宋" w:eastAsia="仿宋"/>
          <w:color w:val="auto"/>
          <w:sz w:val="32"/>
          <w:szCs w:val="30"/>
        </w:rPr>
        <w:t>五、一般公共预算财政拨款“三公”经费支出决算</w:t>
      </w:r>
    </w:p>
    <w:p>
      <w:pPr>
        <w:widowControl/>
        <w:spacing w:line="600" w:lineRule="exact"/>
        <w:jc w:val="left"/>
        <w:rPr>
          <w:rFonts w:ascii="仿宋" w:hAnsi="仿宋" w:eastAsia="仿宋"/>
          <w:color w:val="auto"/>
          <w:sz w:val="32"/>
          <w:szCs w:val="30"/>
        </w:rPr>
      </w:pPr>
      <w:r>
        <w:rPr>
          <w:rFonts w:hint="eastAsia" w:ascii="仿宋" w:hAnsi="仿宋" w:eastAsia="仿宋"/>
          <w:color w:val="auto"/>
          <w:sz w:val="32"/>
          <w:szCs w:val="30"/>
        </w:rPr>
        <w:t xml:space="preserve">    情况说明</w:t>
      </w:r>
    </w:p>
    <w:p>
      <w:pPr>
        <w:widowControl/>
        <w:spacing w:line="600" w:lineRule="exact"/>
        <w:ind w:firstLine="1280" w:firstLineChars="400"/>
        <w:jc w:val="left"/>
        <w:rPr>
          <w:rFonts w:ascii="仿宋" w:hAnsi="仿宋" w:eastAsia="仿宋"/>
          <w:color w:val="auto"/>
          <w:sz w:val="32"/>
          <w:szCs w:val="30"/>
        </w:rPr>
      </w:pPr>
      <w:r>
        <w:rPr>
          <w:rFonts w:hint="eastAsia" w:ascii="仿宋" w:hAnsi="仿宋" w:eastAsia="仿宋"/>
          <w:color w:val="auto"/>
          <w:sz w:val="32"/>
          <w:szCs w:val="30"/>
        </w:rPr>
        <w:t>六、机关运行经费支出情况说明</w:t>
      </w:r>
    </w:p>
    <w:p>
      <w:pPr>
        <w:widowControl/>
        <w:spacing w:line="600" w:lineRule="exact"/>
        <w:ind w:firstLine="640"/>
        <w:jc w:val="left"/>
        <w:rPr>
          <w:rFonts w:ascii="仿宋" w:hAnsi="仿宋" w:eastAsia="仿宋"/>
          <w:color w:val="auto"/>
          <w:sz w:val="32"/>
          <w:szCs w:val="30"/>
        </w:rPr>
      </w:pPr>
      <w:r>
        <w:rPr>
          <w:rFonts w:hint="eastAsia" w:ascii="仿宋" w:hAnsi="仿宋" w:eastAsia="仿宋"/>
          <w:color w:val="auto"/>
          <w:sz w:val="32"/>
          <w:szCs w:val="30"/>
        </w:rPr>
        <w:t xml:space="preserve">    七、政府采购支出情况说明</w:t>
      </w:r>
    </w:p>
    <w:p>
      <w:pPr>
        <w:widowControl/>
        <w:spacing w:line="600" w:lineRule="exact"/>
        <w:ind w:firstLine="640"/>
        <w:jc w:val="left"/>
        <w:rPr>
          <w:rFonts w:ascii="仿宋" w:hAnsi="仿宋" w:eastAsia="仿宋"/>
          <w:color w:val="auto"/>
          <w:sz w:val="32"/>
          <w:szCs w:val="30"/>
        </w:rPr>
      </w:pPr>
      <w:r>
        <w:rPr>
          <w:rFonts w:hint="eastAsia" w:ascii="仿宋" w:hAnsi="仿宋" w:eastAsia="仿宋"/>
          <w:color w:val="auto"/>
          <w:sz w:val="32"/>
          <w:szCs w:val="30"/>
        </w:rPr>
        <w:t xml:space="preserve">    八、国有资产占用情况说明</w:t>
      </w:r>
    </w:p>
    <w:p>
      <w:pPr>
        <w:widowControl/>
        <w:spacing w:line="600" w:lineRule="exact"/>
        <w:ind w:firstLine="640"/>
        <w:jc w:val="left"/>
        <w:rPr>
          <w:rFonts w:ascii="仿宋" w:hAnsi="仿宋" w:eastAsia="仿宋"/>
          <w:color w:val="auto"/>
          <w:sz w:val="32"/>
          <w:szCs w:val="30"/>
        </w:rPr>
      </w:pPr>
      <w:r>
        <w:rPr>
          <w:rFonts w:hint="eastAsia" w:ascii="仿宋" w:hAnsi="仿宋" w:eastAsia="仿宋"/>
          <w:color w:val="auto"/>
          <w:sz w:val="32"/>
          <w:szCs w:val="30"/>
        </w:rPr>
        <w:t xml:space="preserve">    九、预算绩效情况说明</w:t>
      </w:r>
    </w:p>
    <w:p>
      <w:pPr>
        <w:widowControl/>
        <w:spacing w:line="600" w:lineRule="exact"/>
        <w:ind w:firstLine="640"/>
        <w:jc w:val="left"/>
        <w:rPr>
          <w:rFonts w:ascii="仿宋" w:hAnsi="仿宋" w:eastAsia="仿宋"/>
          <w:color w:val="auto"/>
          <w:sz w:val="32"/>
          <w:szCs w:val="30"/>
        </w:rPr>
      </w:pPr>
      <w:r>
        <w:rPr>
          <w:rFonts w:hint="eastAsia" w:ascii="黑体" w:hAnsi="黑体" w:eastAsia="黑体"/>
          <w:color w:val="auto"/>
          <w:sz w:val="32"/>
          <w:szCs w:val="32"/>
        </w:rPr>
        <w:t>第四部分  名词解释</w:t>
      </w:r>
    </w:p>
    <w:p>
      <w:pPr>
        <w:ind w:firstLine="630"/>
        <w:jc w:val="center"/>
        <w:rPr>
          <w:rFonts w:ascii="宋体" w:hAnsi="宋体"/>
          <w:b/>
          <w:color w:val="auto"/>
          <w:sz w:val="36"/>
          <w:szCs w:val="36"/>
        </w:rPr>
      </w:pPr>
    </w:p>
    <w:p>
      <w:pPr>
        <w:ind w:firstLine="630"/>
        <w:jc w:val="center"/>
        <w:rPr>
          <w:rFonts w:ascii="宋体" w:hAnsi="宋体"/>
          <w:b/>
          <w:color w:val="auto"/>
          <w:sz w:val="36"/>
          <w:szCs w:val="36"/>
        </w:rPr>
      </w:pPr>
    </w:p>
    <w:p>
      <w:pPr>
        <w:ind w:firstLine="630"/>
        <w:jc w:val="center"/>
        <w:rPr>
          <w:rFonts w:ascii="宋体" w:hAnsi="宋体"/>
          <w:b/>
          <w:color w:val="auto"/>
          <w:sz w:val="36"/>
          <w:szCs w:val="36"/>
        </w:rPr>
      </w:pPr>
    </w:p>
    <w:p>
      <w:pPr>
        <w:ind w:firstLine="630"/>
        <w:jc w:val="center"/>
        <w:rPr>
          <w:rFonts w:ascii="宋体" w:hAnsi="宋体"/>
          <w:b/>
          <w:color w:val="auto"/>
          <w:sz w:val="36"/>
          <w:szCs w:val="36"/>
        </w:rPr>
      </w:pPr>
    </w:p>
    <w:p>
      <w:pPr>
        <w:ind w:firstLine="630"/>
        <w:jc w:val="center"/>
        <w:rPr>
          <w:rFonts w:ascii="宋体" w:hAnsi="宋体"/>
          <w:b/>
          <w:color w:val="auto"/>
          <w:sz w:val="36"/>
          <w:szCs w:val="36"/>
        </w:rPr>
      </w:pPr>
    </w:p>
    <w:p>
      <w:pPr>
        <w:ind w:firstLine="630"/>
        <w:jc w:val="center"/>
        <w:rPr>
          <w:rFonts w:ascii="宋体" w:hAnsi="宋体"/>
          <w:b/>
          <w:color w:val="auto"/>
          <w:sz w:val="36"/>
          <w:szCs w:val="36"/>
        </w:rPr>
      </w:pPr>
    </w:p>
    <w:p>
      <w:pPr>
        <w:ind w:firstLine="630"/>
        <w:jc w:val="center"/>
        <w:rPr>
          <w:rFonts w:ascii="宋体" w:hAnsi="宋体"/>
          <w:b/>
          <w:color w:val="auto"/>
          <w:sz w:val="36"/>
          <w:szCs w:val="36"/>
        </w:rPr>
      </w:pPr>
    </w:p>
    <w:p>
      <w:pPr>
        <w:ind w:firstLine="630"/>
        <w:jc w:val="center"/>
        <w:rPr>
          <w:rFonts w:ascii="宋体" w:hAnsi="宋体"/>
          <w:b/>
          <w:color w:val="auto"/>
          <w:sz w:val="36"/>
          <w:szCs w:val="36"/>
        </w:rPr>
      </w:pPr>
    </w:p>
    <w:p>
      <w:pPr>
        <w:ind w:firstLine="630"/>
        <w:jc w:val="center"/>
        <w:rPr>
          <w:rFonts w:ascii="宋体" w:hAnsi="宋体"/>
          <w:b/>
          <w:color w:val="auto"/>
          <w:sz w:val="36"/>
          <w:szCs w:val="36"/>
        </w:rPr>
      </w:pPr>
    </w:p>
    <w:p>
      <w:pPr>
        <w:ind w:firstLine="630"/>
        <w:jc w:val="center"/>
        <w:rPr>
          <w:rFonts w:ascii="宋体" w:hAnsi="宋体"/>
          <w:b/>
          <w:color w:val="auto"/>
          <w:sz w:val="36"/>
          <w:szCs w:val="36"/>
        </w:rPr>
      </w:pPr>
    </w:p>
    <w:p>
      <w:pPr>
        <w:ind w:firstLine="630"/>
        <w:jc w:val="center"/>
        <w:rPr>
          <w:rFonts w:ascii="宋体" w:hAnsi="宋体"/>
          <w:b/>
          <w:color w:val="auto"/>
          <w:sz w:val="36"/>
          <w:szCs w:val="36"/>
        </w:rPr>
      </w:pPr>
    </w:p>
    <w:p>
      <w:pPr>
        <w:ind w:firstLine="630"/>
        <w:jc w:val="center"/>
        <w:rPr>
          <w:rFonts w:ascii="宋体" w:hAnsi="宋体"/>
          <w:b/>
          <w:color w:val="auto"/>
          <w:sz w:val="36"/>
          <w:szCs w:val="36"/>
        </w:rPr>
      </w:pPr>
    </w:p>
    <w:p>
      <w:pPr>
        <w:ind w:firstLine="630"/>
        <w:jc w:val="center"/>
        <w:rPr>
          <w:rFonts w:ascii="宋体" w:hAnsi="宋体"/>
          <w:b/>
          <w:color w:val="auto"/>
          <w:sz w:val="36"/>
          <w:szCs w:val="36"/>
        </w:rPr>
      </w:pPr>
    </w:p>
    <w:p>
      <w:pPr>
        <w:ind w:firstLine="630"/>
        <w:jc w:val="center"/>
        <w:rPr>
          <w:rFonts w:ascii="宋体" w:hAnsi="宋体"/>
          <w:b/>
          <w:color w:val="auto"/>
          <w:sz w:val="36"/>
          <w:szCs w:val="36"/>
        </w:rPr>
      </w:pPr>
    </w:p>
    <w:p>
      <w:pPr>
        <w:jc w:val="both"/>
        <w:rPr>
          <w:color w:val="auto"/>
          <w:sz w:val="32"/>
          <w:szCs w:val="32"/>
        </w:rPr>
      </w:pPr>
    </w:p>
    <w:p>
      <w:pPr>
        <w:widowControl/>
        <w:spacing w:line="580" w:lineRule="exact"/>
        <w:jc w:val="center"/>
        <w:rPr>
          <w:rFonts w:hint="eastAsia" w:ascii="宋体" w:hAnsi="宋体"/>
          <w:b/>
          <w:color w:val="auto"/>
          <w:sz w:val="32"/>
          <w:szCs w:val="30"/>
        </w:rPr>
      </w:pPr>
      <w:r>
        <w:rPr>
          <w:rFonts w:hint="eastAsia" w:ascii="宋体" w:hAnsi="宋体"/>
          <w:b/>
          <w:color w:val="auto"/>
          <w:sz w:val="32"/>
          <w:szCs w:val="30"/>
        </w:rPr>
        <w:t xml:space="preserve">第一部分  </w:t>
      </w:r>
      <w:r>
        <w:rPr>
          <w:rFonts w:hint="eastAsia" w:ascii="宋体" w:hAnsi="宋体"/>
          <w:b/>
          <w:color w:val="auto"/>
          <w:sz w:val="32"/>
          <w:szCs w:val="30"/>
          <w:lang w:eastAsia="zh-CN"/>
        </w:rPr>
        <w:t>信访局</w:t>
      </w:r>
      <w:r>
        <w:rPr>
          <w:rFonts w:hint="eastAsia" w:ascii="宋体" w:hAnsi="宋体"/>
          <w:b/>
          <w:color w:val="auto"/>
          <w:sz w:val="32"/>
          <w:szCs w:val="32"/>
        </w:rPr>
        <w:t>部门</w:t>
      </w:r>
      <w:r>
        <w:rPr>
          <w:rFonts w:hint="eastAsia" w:ascii="宋体" w:hAnsi="宋体"/>
          <w:b/>
          <w:color w:val="auto"/>
          <w:sz w:val="32"/>
          <w:szCs w:val="30"/>
        </w:rPr>
        <w:t>概况</w:t>
      </w:r>
    </w:p>
    <w:p>
      <w:pPr>
        <w:ind w:firstLine="630"/>
        <w:jc w:val="center"/>
        <w:rPr>
          <w:rFonts w:hint="eastAsia"/>
          <w:color w:val="auto"/>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30"/>
        <w:jc w:val="left"/>
        <w:textAlignment w:val="auto"/>
        <w:rPr>
          <w:rFonts w:hint="eastAsia" w:ascii="黑体" w:hAnsi="黑体" w:eastAsia="黑体"/>
          <w:color w:val="auto"/>
          <w:sz w:val="30"/>
          <w:szCs w:val="30"/>
        </w:rPr>
      </w:pPr>
      <w:r>
        <w:rPr>
          <w:rFonts w:hint="eastAsia" w:ascii="黑体" w:hAnsi="黑体" w:eastAsia="黑体"/>
          <w:color w:val="auto"/>
          <w:sz w:val="30"/>
          <w:szCs w:val="30"/>
        </w:rPr>
        <w:t>一、部门主要职能</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仿宋_GB2312"/>
          <w:color w:val="auto"/>
          <w:sz w:val="32"/>
          <w:szCs w:val="32"/>
        </w:rPr>
        <w:t>贯彻落实党中央、国务院及省、市、县关于信访工作的方针、政策和规定。</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接待到县委、县政府上访的群众；承办国家信访局和省委、省政府信访局，市委、市政府信访局以及中央、省、市其他部门交办的信访事项。</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处理人民群众通过“政府信箱’、“省（市）长手机”、“县长信箱”、“网上信访”等反映的信访事项。</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向有关乡镇和部门转办，立案交办和督促检查来信来访问题，并审查处理结果；对县领导批示和上级机关交办的信访问题，做好处理结果的反馈工作。</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对紧急、重大的信访问题和跨地区、跨部门的信访问题，进行查办，协调处理或组织有关部门进行联合调查处理，参与息诉稳控工作。</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（六）</w:t>
      </w:r>
      <w:r>
        <w:rPr>
          <w:rFonts w:hint="eastAsia" w:ascii="仿宋_GB2312" w:hAnsi="仿宋_GB2312" w:eastAsia="仿宋_GB2312" w:cs="仿宋_GB2312"/>
          <w:color w:val="auto"/>
          <w:sz w:val="32"/>
          <w:szCs w:val="32"/>
        </w:rPr>
        <w:t>综合分析、调查研究人民群众来信来访反映的情况和问题，及时向县委、县政府反映，并提出解决问题的意见和建议。</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olor w:val="auto"/>
          <w:sz w:val="32"/>
          <w:szCs w:val="30"/>
          <w:lang w:eastAsia="zh-CN"/>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（七）</w:t>
      </w:r>
      <w:r>
        <w:rPr>
          <w:rFonts w:hint="eastAsia" w:ascii="仿宋_GB2312" w:hAnsi="仿宋_GB2312" w:eastAsia="仿宋_GB2312" w:cs="仿宋_GB2312"/>
          <w:color w:val="auto"/>
          <w:sz w:val="32"/>
          <w:szCs w:val="32"/>
        </w:rPr>
        <w:t>负责指导、检查、督促全县信访工作；掌握信访干部队伍建设情况；组织信访工作业务培训；推动基层信访部门办公自动化建设。</w:t>
      </w:r>
    </w:p>
    <w:p>
      <w:pPr>
        <w:keepNext w:val="0"/>
        <w:keepLines w:val="0"/>
        <w:pageBreakBefore w:val="0"/>
        <w:widowControl w:val="0"/>
        <w:kinsoku/>
        <w:wordWrap/>
        <w:overflowPunct/>
        <w:topLinePunct w:val="0"/>
        <w:autoSpaceDE/>
        <w:autoSpaceDN/>
        <w:bidi w:val="0"/>
        <w:adjustRightInd/>
        <w:snapToGrid/>
        <w:spacing w:line="500" w:lineRule="exact"/>
        <w:ind w:firstLine="630"/>
        <w:jc w:val="left"/>
        <w:textAlignment w:val="auto"/>
        <w:rPr>
          <w:rFonts w:hint="eastAsia" w:ascii="黑体" w:hAnsi="黑体" w:eastAsia="黑体"/>
          <w:color w:val="auto"/>
          <w:sz w:val="30"/>
          <w:szCs w:val="30"/>
        </w:rPr>
      </w:pPr>
      <w:r>
        <w:rPr>
          <w:rFonts w:hint="eastAsia" w:ascii="黑体" w:hAnsi="黑体" w:eastAsia="黑体"/>
          <w:color w:val="auto"/>
          <w:sz w:val="30"/>
          <w:szCs w:val="30"/>
        </w:rPr>
        <w:t>二、部门基本情况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纳入本套部门决算汇编范围的单位共</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个</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本部门201</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年年末实有人数</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人，其中在职人员</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人，，退休人员</w:t>
      </w:r>
      <w:r>
        <w:rPr>
          <w:rFonts w:hint="eastAsia" w:ascii="仿宋_GB2312" w:hAnsi="仿宋_GB2312" w:eastAsia="仿宋_GB2312" w:cs="仿宋_GB2312"/>
          <w:color w:val="auto"/>
          <w:sz w:val="32"/>
          <w:szCs w:val="32"/>
          <w:lang w:val="en-US" w:eastAsia="zh-CN"/>
        </w:rPr>
        <w:t>4人</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年末其他人员1人</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rPr>
      </w:pPr>
    </w:p>
    <w:p>
      <w:pPr>
        <w:widowControl/>
        <w:spacing w:line="600" w:lineRule="exact"/>
        <w:ind w:firstLine="640"/>
        <w:jc w:val="center"/>
        <w:rPr>
          <w:rFonts w:hint="eastAsia" w:ascii="宋体" w:hAnsi="宋体"/>
          <w:b/>
          <w:color w:val="auto"/>
          <w:sz w:val="32"/>
          <w:szCs w:val="32"/>
        </w:rPr>
      </w:pPr>
      <w:r>
        <w:rPr>
          <w:rFonts w:hint="eastAsia" w:ascii="宋体" w:hAnsi="宋体"/>
          <w:b/>
          <w:color w:val="auto"/>
          <w:sz w:val="32"/>
          <w:szCs w:val="32"/>
        </w:rPr>
        <w:t>第二部分  201</w:t>
      </w:r>
      <w:r>
        <w:rPr>
          <w:rFonts w:hint="eastAsia" w:ascii="宋体" w:hAnsi="宋体"/>
          <w:b/>
          <w:color w:val="auto"/>
          <w:sz w:val="32"/>
          <w:szCs w:val="32"/>
          <w:lang w:val="en-US" w:eastAsia="zh-CN"/>
        </w:rPr>
        <w:t>9</w:t>
      </w:r>
      <w:r>
        <w:rPr>
          <w:rFonts w:hint="eastAsia" w:ascii="宋体" w:hAnsi="宋体"/>
          <w:b/>
          <w:color w:val="auto"/>
          <w:sz w:val="32"/>
          <w:szCs w:val="32"/>
        </w:rPr>
        <w:t>年度部门决算表</w:t>
      </w:r>
    </w:p>
    <w:p>
      <w:pPr>
        <w:autoSpaceDE w:val="0"/>
        <w:autoSpaceDN w:val="0"/>
        <w:adjustRightInd w:val="0"/>
        <w:spacing w:line="360" w:lineRule="auto"/>
        <w:jc w:val="left"/>
        <w:rPr>
          <w:rFonts w:hint="eastAsia"/>
          <w:color w:val="auto"/>
          <w:szCs w:val="30"/>
        </w:rPr>
      </w:pPr>
    </w:p>
    <w:p>
      <w:pPr>
        <w:autoSpaceDE w:val="0"/>
        <w:autoSpaceDN w:val="0"/>
        <w:adjustRightInd w:val="0"/>
        <w:spacing w:line="360" w:lineRule="auto"/>
        <w:jc w:val="left"/>
        <w:rPr>
          <w:color w:val="auto"/>
        </w:rPr>
      </w:pPr>
      <w:r>
        <w:rPr>
          <w:color w:val="auto"/>
        </w:rPr>
        <w:drawing>
          <wp:inline distT="0" distB="0" distL="114300" distR="114300">
            <wp:extent cx="5715635" cy="4508500"/>
            <wp:effectExtent l="0" t="0" r="18415" b="635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0"/>
                    <a:stretch>
                      <a:fillRect/>
                    </a:stretch>
                  </pic:blipFill>
                  <pic:spPr>
                    <a:xfrm>
                      <a:off x="0" y="0"/>
                      <a:ext cx="5715635" cy="4508500"/>
                    </a:xfrm>
                    <a:prstGeom prst="rect">
                      <a:avLst/>
                    </a:prstGeom>
                    <a:noFill/>
                    <a:ln w="9525">
                      <a:noFill/>
                    </a:ln>
                  </pic:spPr>
                </pic:pic>
              </a:graphicData>
            </a:graphic>
          </wp:inline>
        </w:drawing>
      </w:r>
    </w:p>
    <w:p>
      <w:pPr>
        <w:autoSpaceDE w:val="0"/>
        <w:autoSpaceDN w:val="0"/>
        <w:adjustRightInd w:val="0"/>
        <w:spacing w:line="360" w:lineRule="auto"/>
        <w:jc w:val="left"/>
        <w:rPr>
          <w:rFonts w:hint="eastAsia"/>
          <w:color w:val="auto"/>
        </w:rPr>
      </w:pPr>
    </w:p>
    <w:p>
      <w:pPr>
        <w:autoSpaceDE w:val="0"/>
        <w:autoSpaceDN w:val="0"/>
        <w:adjustRightInd w:val="0"/>
        <w:spacing w:line="360" w:lineRule="auto"/>
        <w:jc w:val="left"/>
        <w:rPr>
          <w:rFonts w:hint="eastAsia" w:ascii="仿宋" w:hAnsi="仿宋" w:eastAsia="仿宋" w:cs="仿宋_GB2312"/>
          <w:color w:val="auto"/>
          <w:kern w:val="0"/>
          <w:sz w:val="30"/>
          <w:szCs w:val="30"/>
        </w:rPr>
      </w:pPr>
      <w:r>
        <w:rPr>
          <w:color w:val="auto"/>
        </w:rPr>
        <w:drawing>
          <wp:inline distT="0" distB="0" distL="114300" distR="114300">
            <wp:extent cx="6059170" cy="3799205"/>
            <wp:effectExtent l="0" t="0" r="17780" b="10795"/>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11"/>
                    <a:stretch>
                      <a:fillRect/>
                    </a:stretch>
                  </pic:blipFill>
                  <pic:spPr>
                    <a:xfrm>
                      <a:off x="0" y="0"/>
                      <a:ext cx="6059170" cy="3799205"/>
                    </a:xfrm>
                    <a:prstGeom prst="rect">
                      <a:avLst/>
                    </a:prstGeom>
                    <a:noFill/>
                    <a:ln w="9525">
                      <a:noFill/>
                    </a:ln>
                  </pic:spPr>
                </pic:pic>
              </a:graphicData>
            </a:graphic>
          </wp:inline>
        </w:drawing>
      </w:r>
    </w:p>
    <w:p>
      <w:pPr>
        <w:autoSpaceDE w:val="0"/>
        <w:autoSpaceDN w:val="0"/>
        <w:adjustRightInd w:val="0"/>
        <w:spacing w:line="360" w:lineRule="auto"/>
        <w:jc w:val="left"/>
        <w:rPr>
          <w:rFonts w:hint="eastAsia" w:ascii="仿宋" w:hAnsi="仿宋" w:eastAsia="仿宋" w:cs="仿宋_GB2312"/>
          <w:color w:val="auto"/>
          <w:kern w:val="0"/>
          <w:sz w:val="30"/>
          <w:szCs w:val="30"/>
        </w:rPr>
      </w:pPr>
      <w:r>
        <w:rPr>
          <w:rFonts w:hint="eastAsia" w:ascii="仿宋" w:hAnsi="仿宋" w:eastAsia="仿宋" w:cs="仿宋_GB2312"/>
          <w:color w:val="auto"/>
          <w:kern w:val="0"/>
          <w:sz w:val="30"/>
          <w:szCs w:val="30"/>
        </w:rPr>
        <w:t xml:space="preserve"> </w:t>
      </w:r>
    </w:p>
    <w:p>
      <w:pPr>
        <w:autoSpaceDE w:val="0"/>
        <w:autoSpaceDN w:val="0"/>
        <w:adjustRightInd w:val="0"/>
        <w:spacing w:line="360" w:lineRule="auto"/>
        <w:jc w:val="left"/>
        <w:rPr>
          <w:rFonts w:hint="eastAsia" w:ascii="仿宋" w:hAnsi="仿宋" w:eastAsia="仿宋" w:cs="仿宋_GB2312"/>
          <w:color w:val="auto"/>
          <w:kern w:val="0"/>
          <w:sz w:val="30"/>
          <w:szCs w:val="30"/>
        </w:rPr>
      </w:pPr>
      <w:r>
        <w:rPr>
          <w:color w:val="auto"/>
        </w:rPr>
        <w:drawing>
          <wp:inline distT="0" distB="0" distL="114300" distR="114300">
            <wp:extent cx="6117590" cy="3743960"/>
            <wp:effectExtent l="0" t="0" r="16510" b="889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2"/>
                    <a:stretch>
                      <a:fillRect/>
                    </a:stretch>
                  </pic:blipFill>
                  <pic:spPr>
                    <a:xfrm>
                      <a:off x="0" y="0"/>
                      <a:ext cx="6117590" cy="3743960"/>
                    </a:xfrm>
                    <a:prstGeom prst="rect">
                      <a:avLst/>
                    </a:prstGeom>
                    <a:noFill/>
                    <a:ln w="9525">
                      <a:noFill/>
                    </a:ln>
                  </pic:spPr>
                </pic:pic>
              </a:graphicData>
            </a:graphic>
          </wp:inline>
        </w:drawing>
      </w:r>
    </w:p>
    <w:p>
      <w:pPr>
        <w:autoSpaceDE w:val="0"/>
        <w:autoSpaceDN w:val="0"/>
        <w:adjustRightInd w:val="0"/>
        <w:spacing w:line="360" w:lineRule="auto"/>
        <w:jc w:val="left"/>
        <w:rPr>
          <w:rFonts w:hint="eastAsia" w:ascii="仿宋" w:hAnsi="仿宋" w:eastAsia="仿宋" w:cs="仿宋_GB2312"/>
          <w:color w:val="auto"/>
          <w:kern w:val="0"/>
          <w:sz w:val="30"/>
          <w:szCs w:val="30"/>
        </w:rPr>
      </w:pPr>
    </w:p>
    <w:p>
      <w:pPr>
        <w:autoSpaceDE w:val="0"/>
        <w:autoSpaceDN w:val="0"/>
        <w:adjustRightInd w:val="0"/>
        <w:spacing w:line="360" w:lineRule="auto"/>
        <w:jc w:val="left"/>
        <w:rPr>
          <w:color w:val="auto"/>
        </w:rPr>
      </w:pPr>
    </w:p>
    <w:p>
      <w:pPr>
        <w:autoSpaceDE w:val="0"/>
        <w:autoSpaceDN w:val="0"/>
        <w:adjustRightInd w:val="0"/>
        <w:spacing w:line="360" w:lineRule="auto"/>
        <w:jc w:val="left"/>
        <w:rPr>
          <w:color w:val="auto"/>
        </w:rPr>
      </w:pPr>
    </w:p>
    <w:p>
      <w:pPr>
        <w:autoSpaceDE w:val="0"/>
        <w:autoSpaceDN w:val="0"/>
        <w:adjustRightInd w:val="0"/>
        <w:spacing w:line="360" w:lineRule="auto"/>
        <w:jc w:val="left"/>
        <w:rPr>
          <w:rFonts w:hint="eastAsia"/>
          <w:color w:val="auto"/>
        </w:rPr>
      </w:pPr>
    </w:p>
    <w:p>
      <w:pPr>
        <w:autoSpaceDE w:val="0"/>
        <w:autoSpaceDN w:val="0"/>
        <w:adjustRightInd w:val="0"/>
        <w:spacing w:line="360" w:lineRule="auto"/>
        <w:jc w:val="left"/>
        <w:rPr>
          <w:rFonts w:hint="eastAsia" w:ascii="仿宋" w:hAnsi="仿宋" w:eastAsia="仿宋" w:cs="仿宋_GB2312"/>
          <w:color w:val="auto"/>
          <w:kern w:val="0"/>
          <w:sz w:val="30"/>
          <w:szCs w:val="30"/>
        </w:rPr>
      </w:pPr>
    </w:p>
    <w:p>
      <w:pPr>
        <w:autoSpaceDE w:val="0"/>
        <w:autoSpaceDN w:val="0"/>
        <w:adjustRightInd w:val="0"/>
        <w:spacing w:line="360" w:lineRule="auto"/>
        <w:jc w:val="left"/>
        <w:rPr>
          <w:rFonts w:hint="eastAsia" w:ascii="仿宋" w:hAnsi="仿宋" w:eastAsia="仿宋" w:cs="仿宋_GB2312"/>
          <w:color w:val="auto"/>
          <w:kern w:val="0"/>
          <w:sz w:val="30"/>
          <w:szCs w:val="30"/>
        </w:rPr>
      </w:pPr>
    </w:p>
    <w:p>
      <w:pPr>
        <w:autoSpaceDE w:val="0"/>
        <w:autoSpaceDN w:val="0"/>
        <w:adjustRightInd w:val="0"/>
        <w:spacing w:line="360" w:lineRule="auto"/>
        <w:jc w:val="left"/>
        <w:rPr>
          <w:rFonts w:hint="eastAsia" w:ascii="仿宋" w:hAnsi="仿宋" w:eastAsia="仿宋" w:cs="仿宋_GB2312"/>
          <w:color w:val="auto"/>
          <w:kern w:val="0"/>
          <w:sz w:val="30"/>
          <w:szCs w:val="30"/>
        </w:rPr>
      </w:pPr>
    </w:p>
    <w:p>
      <w:pPr>
        <w:autoSpaceDE w:val="0"/>
        <w:autoSpaceDN w:val="0"/>
        <w:adjustRightInd w:val="0"/>
        <w:spacing w:line="360" w:lineRule="auto"/>
        <w:jc w:val="left"/>
        <w:rPr>
          <w:rFonts w:hint="eastAsia" w:ascii="仿宋" w:hAnsi="仿宋" w:eastAsia="仿宋" w:cs="仿宋_GB2312"/>
          <w:color w:val="auto"/>
          <w:kern w:val="0"/>
          <w:sz w:val="30"/>
          <w:szCs w:val="30"/>
        </w:rPr>
      </w:pPr>
    </w:p>
    <w:p>
      <w:pPr>
        <w:autoSpaceDE w:val="0"/>
        <w:autoSpaceDN w:val="0"/>
        <w:adjustRightInd w:val="0"/>
        <w:spacing w:line="360" w:lineRule="auto"/>
        <w:jc w:val="left"/>
        <w:rPr>
          <w:rFonts w:hint="eastAsia" w:ascii="仿宋" w:hAnsi="仿宋" w:eastAsia="仿宋" w:cs="仿宋_GB2312"/>
          <w:color w:val="auto"/>
          <w:kern w:val="0"/>
          <w:sz w:val="30"/>
          <w:szCs w:val="30"/>
        </w:rPr>
      </w:pPr>
    </w:p>
    <w:p>
      <w:pPr>
        <w:autoSpaceDE w:val="0"/>
        <w:autoSpaceDN w:val="0"/>
        <w:adjustRightInd w:val="0"/>
        <w:spacing w:line="360" w:lineRule="auto"/>
        <w:jc w:val="center"/>
        <w:rPr>
          <w:rFonts w:hint="eastAsia" w:ascii="黑体" w:hAnsi="黑体" w:eastAsia="黑体" w:cs="黑体"/>
          <w:b w:val="0"/>
          <w:bCs w:val="0"/>
          <w:color w:val="auto"/>
          <w:szCs w:val="30"/>
          <w:lang w:eastAsia="zh-CN"/>
        </w:rPr>
      </w:pPr>
      <w:r>
        <w:rPr>
          <w:rFonts w:hint="eastAsia" w:ascii="黑体" w:hAnsi="黑体" w:eastAsia="黑体" w:cs="黑体"/>
          <w:b w:val="0"/>
          <w:bCs w:val="0"/>
          <w:color w:val="auto"/>
          <w:szCs w:val="30"/>
          <w:lang w:eastAsia="zh-CN"/>
        </w:rPr>
        <w:t>财政收入支出决算总表</w:t>
      </w:r>
    </w:p>
    <w:p>
      <w:pPr>
        <w:autoSpaceDE w:val="0"/>
        <w:autoSpaceDN w:val="0"/>
        <w:adjustRightInd w:val="0"/>
        <w:spacing w:line="360" w:lineRule="auto"/>
        <w:jc w:val="left"/>
        <w:rPr>
          <w:rFonts w:hint="eastAsia"/>
          <w:color w:val="auto"/>
          <w:szCs w:val="30"/>
        </w:rPr>
      </w:pPr>
      <w:r>
        <w:rPr>
          <w:color w:val="auto"/>
        </w:rPr>
        <w:drawing>
          <wp:inline distT="0" distB="0" distL="114300" distR="114300">
            <wp:extent cx="6049010" cy="4837430"/>
            <wp:effectExtent l="0" t="0" r="8890" b="127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3"/>
                    <a:stretch>
                      <a:fillRect/>
                    </a:stretch>
                  </pic:blipFill>
                  <pic:spPr>
                    <a:xfrm>
                      <a:off x="0" y="0"/>
                      <a:ext cx="6049010" cy="4837430"/>
                    </a:xfrm>
                    <a:prstGeom prst="rect">
                      <a:avLst/>
                    </a:prstGeom>
                    <a:noFill/>
                    <a:ln w="9525">
                      <a:noFill/>
                    </a:ln>
                  </pic:spPr>
                </pic:pic>
              </a:graphicData>
            </a:graphic>
          </wp:inline>
        </w:drawing>
      </w:r>
    </w:p>
    <w:p>
      <w:pPr>
        <w:autoSpaceDE w:val="0"/>
        <w:autoSpaceDN w:val="0"/>
        <w:adjustRightInd w:val="0"/>
        <w:spacing w:line="360" w:lineRule="auto"/>
        <w:jc w:val="left"/>
        <w:rPr>
          <w:rFonts w:hint="eastAsia" w:ascii="仿宋" w:hAnsi="仿宋" w:eastAsia="仿宋" w:cs="仿宋_GB2312"/>
          <w:color w:val="auto"/>
          <w:kern w:val="0"/>
          <w:sz w:val="30"/>
          <w:szCs w:val="30"/>
        </w:rPr>
      </w:pPr>
    </w:p>
    <w:p>
      <w:pPr>
        <w:autoSpaceDE w:val="0"/>
        <w:autoSpaceDN w:val="0"/>
        <w:adjustRightInd w:val="0"/>
        <w:spacing w:line="360" w:lineRule="auto"/>
        <w:jc w:val="left"/>
        <w:rPr>
          <w:rFonts w:hint="eastAsia" w:ascii="仿宋" w:hAnsi="仿宋" w:eastAsia="仿宋" w:cs="仿宋_GB2312"/>
          <w:color w:val="auto"/>
          <w:kern w:val="0"/>
          <w:sz w:val="30"/>
          <w:szCs w:val="30"/>
        </w:rPr>
      </w:pPr>
    </w:p>
    <w:p>
      <w:pPr>
        <w:autoSpaceDE w:val="0"/>
        <w:autoSpaceDN w:val="0"/>
        <w:adjustRightInd w:val="0"/>
        <w:spacing w:line="360" w:lineRule="auto"/>
        <w:jc w:val="left"/>
        <w:rPr>
          <w:rFonts w:hint="eastAsia"/>
          <w:color w:val="auto"/>
          <w:szCs w:val="30"/>
        </w:rPr>
      </w:pPr>
      <w:r>
        <w:rPr>
          <w:color w:val="auto"/>
        </w:rPr>
        <w:drawing>
          <wp:inline distT="0" distB="0" distL="114300" distR="114300">
            <wp:extent cx="5667375" cy="4116070"/>
            <wp:effectExtent l="0" t="0" r="9525" b="1778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4"/>
                    <a:stretch>
                      <a:fillRect/>
                    </a:stretch>
                  </pic:blipFill>
                  <pic:spPr>
                    <a:xfrm>
                      <a:off x="0" y="0"/>
                      <a:ext cx="5667375" cy="4116070"/>
                    </a:xfrm>
                    <a:prstGeom prst="rect">
                      <a:avLst/>
                    </a:prstGeom>
                    <a:noFill/>
                    <a:ln w="9525">
                      <a:noFill/>
                    </a:ln>
                  </pic:spPr>
                </pic:pic>
              </a:graphicData>
            </a:graphic>
          </wp:inline>
        </w:drawing>
      </w:r>
    </w:p>
    <w:p>
      <w:pPr>
        <w:autoSpaceDE w:val="0"/>
        <w:autoSpaceDN w:val="0"/>
        <w:adjustRightInd w:val="0"/>
        <w:spacing w:line="360" w:lineRule="auto"/>
        <w:jc w:val="left"/>
        <w:rPr>
          <w:rFonts w:hint="eastAsia"/>
          <w:color w:val="auto"/>
          <w:szCs w:val="30"/>
        </w:rPr>
      </w:pPr>
    </w:p>
    <w:p>
      <w:pPr>
        <w:autoSpaceDE w:val="0"/>
        <w:autoSpaceDN w:val="0"/>
        <w:adjustRightInd w:val="0"/>
        <w:spacing w:line="360" w:lineRule="auto"/>
        <w:jc w:val="left"/>
        <w:rPr>
          <w:rFonts w:hint="eastAsia"/>
          <w:color w:val="auto"/>
          <w:szCs w:val="30"/>
        </w:rPr>
      </w:pPr>
      <w:r>
        <w:rPr>
          <w:color w:val="auto"/>
        </w:rPr>
        <w:drawing>
          <wp:inline distT="0" distB="0" distL="114300" distR="114300">
            <wp:extent cx="5086350" cy="8797290"/>
            <wp:effectExtent l="0" t="0" r="0" b="381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5"/>
                    <a:stretch>
                      <a:fillRect/>
                    </a:stretch>
                  </pic:blipFill>
                  <pic:spPr>
                    <a:xfrm>
                      <a:off x="0" y="0"/>
                      <a:ext cx="5086350" cy="8797290"/>
                    </a:xfrm>
                    <a:prstGeom prst="rect">
                      <a:avLst/>
                    </a:prstGeom>
                    <a:noFill/>
                    <a:ln w="9525">
                      <a:noFill/>
                    </a:ln>
                  </pic:spPr>
                </pic:pic>
              </a:graphicData>
            </a:graphic>
          </wp:inline>
        </w:drawing>
      </w:r>
    </w:p>
    <w:p>
      <w:pPr>
        <w:autoSpaceDE w:val="0"/>
        <w:autoSpaceDN w:val="0"/>
        <w:adjustRightInd w:val="0"/>
        <w:spacing w:line="360" w:lineRule="auto"/>
        <w:jc w:val="left"/>
        <w:rPr>
          <w:rFonts w:hint="eastAsia"/>
          <w:color w:val="auto"/>
          <w:szCs w:val="30"/>
        </w:rPr>
      </w:pPr>
    </w:p>
    <w:p>
      <w:pPr>
        <w:autoSpaceDE w:val="0"/>
        <w:autoSpaceDN w:val="0"/>
        <w:adjustRightInd w:val="0"/>
        <w:spacing w:line="360" w:lineRule="auto"/>
        <w:jc w:val="left"/>
        <w:rPr>
          <w:rFonts w:hint="eastAsia"/>
          <w:color w:val="auto"/>
          <w:szCs w:val="30"/>
        </w:rPr>
      </w:pPr>
    </w:p>
    <w:p>
      <w:pPr>
        <w:autoSpaceDE w:val="0"/>
        <w:autoSpaceDN w:val="0"/>
        <w:adjustRightInd w:val="0"/>
        <w:spacing w:line="360" w:lineRule="auto"/>
        <w:jc w:val="left"/>
        <w:rPr>
          <w:rFonts w:hint="eastAsia"/>
          <w:color w:val="auto"/>
          <w:szCs w:val="30"/>
        </w:rPr>
      </w:pPr>
      <w:r>
        <w:rPr>
          <w:color w:val="auto"/>
        </w:rPr>
        <w:drawing>
          <wp:inline distT="0" distB="0" distL="114300" distR="114300">
            <wp:extent cx="5057140" cy="5213350"/>
            <wp:effectExtent l="0" t="0" r="10160" b="635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6"/>
                    <a:stretch>
                      <a:fillRect/>
                    </a:stretch>
                  </pic:blipFill>
                  <pic:spPr>
                    <a:xfrm>
                      <a:off x="0" y="0"/>
                      <a:ext cx="5057140" cy="5213350"/>
                    </a:xfrm>
                    <a:prstGeom prst="rect">
                      <a:avLst/>
                    </a:prstGeom>
                    <a:noFill/>
                    <a:ln w="9525">
                      <a:noFill/>
                    </a:ln>
                  </pic:spPr>
                </pic:pic>
              </a:graphicData>
            </a:graphic>
          </wp:inline>
        </w:drawing>
      </w:r>
    </w:p>
    <w:p>
      <w:pPr>
        <w:autoSpaceDE w:val="0"/>
        <w:autoSpaceDN w:val="0"/>
        <w:adjustRightInd w:val="0"/>
        <w:spacing w:line="360" w:lineRule="auto"/>
        <w:jc w:val="left"/>
        <w:rPr>
          <w:rFonts w:hint="eastAsia"/>
          <w:color w:val="auto"/>
          <w:szCs w:val="30"/>
        </w:rPr>
      </w:pPr>
    </w:p>
    <w:p>
      <w:pPr>
        <w:autoSpaceDE w:val="0"/>
        <w:autoSpaceDN w:val="0"/>
        <w:adjustRightInd w:val="0"/>
        <w:spacing w:line="360" w:lineRule="auto"/>
        <w:jc w:val="left"/>
        <w:rPr>
          <w:rFonts w:hint="eastAsia"/>
          <w:color w:val="auto"/>
          <w:szCs w:val="30"/>
        </w:rPr>
      </w:pPr>
    </w:p>
    <w:p>
      <w:pPr>
        <w:autoSpaceDE w:val="0"/>
        <w:autoSpaceDN w:val="0"/>
        <w:adjustRightInd w:val="0"/>
        <w:spacing w:line="360" w:lineRule="auto"/>
        <w:jc w:val="left"/>
        <w:rPr>
          <w:rFonts w:hint="eastAsia"/>
          <w:color w:val="auto"/>
          <w:szCs w:val="30"/>
        </w:rPr>
      </w:pPr>
    </w:p>
    <w:p>
      <w:pPr>
        <w:autoSpaceDE w:val="0"/>
        <w:autoSpaceDN w:val="0"/>
        <w:adjustRightInd w:val="0"/>
        <w:spacing w:line="360" w:lineRule="auto"/>
        <w:jc w:val="left"/>
        <w:rPr>
          <w:rFonts w:hint="eastAsia"/>
          <w:color w:val="auto"/>
          <w:szCs w:val="30"/>
        </w:rPr>
      </w:pPr>
    </w:p>
    <w:p>
      <w:pPr>
        <w:autoSpaceDE w:val="0"/>
        <w:autoSpaceDN w:val="0"/>
        <w:adjustRightInd w:val="0"/>
        <w:spacing w:line="360" w:lineRule="auto"/>
        <w:jc w:val="left"/>
        <w:rPr>
          <w:rFonts w:hint="eastAsia"/>
          <w:color w:val="auto"/>
          <w:szCs w:val="30"/>
        </w:rPr>
      </w:pPr>
    </w:p>
    <w:p>
      <w:pPr>
        <w:autoSpaceDE w:val="0"/>
        <w:autoSpaceDN w:val="0"/>
        <w:adjustRightInd w:val="0"/>
        <w:spacing w:line="360" w:lineRule="auto"/>
        <w:jc w:val="left"/>
        <w:rPr>
          <w:rFonts w:hint="eastAsia"/>
          <w:color w:val="auto"/>
          <w:szCs w:val="30"/>
        </w:rPr>
      </w:pPr>
    </w:p>
    <w:p>
      <w:pPr>
        <w:autoSpaceDE w:val="0"/>
        <w:autoSpaceDN w:val="0"/>
        <w:adjustRightInd w:val="0"/>
        <w:spacing w:line="360" w:lineRule="auto"/>
        <w:jc w:val="left"/>
        <w:rPr>
          <w:rFonts w:hint="eastAsia"/>
          <w:color w:val="auto"/>
          <w:szCs w:val="30"/>
        </w:rPr>
      </w:pPr>
    </w:p>
    <w:p>
      <w:pPr>
        <w:autoSpaceDE w:val="0"/>
        <w:autoSpaceDN w:val="0"/>
        <w:adjustRightInd w:val="0"/>
        <w:spacing w:line="360" w:lineRule="auto"/>
        <w:jc w:val="left"/>
        <w:rPr>
          <w:rFonts w:hint="eastAsia"/>
          <w:color w:val="auto"/>
          <w:szCs w:val="30"/>
        </w:rPr>
      </w:pPr>
    </w:p>
    <w:p>
      <w:pPr>
        <w:autoSpaceDE w:val="0"/>
        <w:autoSpaceDN w:val="0"/>
        <w:adjustRightInd w:val="0"/>
        <w:spacing w:line="360" w:lineRule="auto"/>
        <w:jc w:val="left"/>
        <w:rPr>
          <w:rFonts w:hint="eastAsia"/>
          <w:color w:val="auto"/>
          <w:szCs w:val="30"/>
        </w:rPr>
      </w:pPr>
    </w:p>
    <w:p>
      <w:pPr>
        <w:autoSpaceDE w:val="0"/>
        <w:autoSpaceDN w:val="0"/>
        <w:adjustRightInd w:val="0"/>
        <w:spacing w:line="360" w:lineRule="auto"/>
        <w:jc w:val="left"/>
        <w:rPr>
          <w:rFonts w:hint="eastAsia"/>
          <w:color w:val="auto"/>
          <w:szCs w:val="30"/>
        </w:rPr>
      </w:pPr>
    </w:p>
    <w:tbl>
      <w:tblPr>
        <w:tblStyle w:val="6"/>
        <w:tblW w:w="16551" w:type="dxa"/>
        <w:tblInd w:w="0" w:type="dxa"/>
        <w:shd w:val="clear" w:color="auto" w:fill="auto"/>
        <w:tblLayout w:type="fixed"/>
        <w:tblCellMar>
          <w:top w:w="0" w:type="dxa"/>
          <w:left w:w="0" w:type="dxa"/>
          <w:bottom w:w="0" w:type="dxa"/>
          <w:right w:w="0" w:type="dxa"/>
        </w:tblCellMar>
      </w:tblPr>
      <w:tblGrid>
        <w:gridCol w:w="2830"/>
        <w:gridCol w:w="480"/>
        <w:gridCol w:w="480"/>
        <w:gridCol w:w="3195"/>
        <w:gridCol w:w="2366"/>
        <w:gridCol w:w="1800"/>
        <w:gridCol w:w="1800"/>
        <w:gridCol w:w="1800"/>
        <w:gridCol w:w="1800"/>
      </w:tblGrid>
      <w:tr>
        <w:tblPrEx>
          <w:shd w:val="clear" w:color="auto" w:fill="auto"/>
        </w:tblPrEx>
        <w:trPr>
          <w:trHeight w:val="540" w:hRule="atLeast"/>
        </w:trPr>
        <w:tc>
          <w:tcPr>
            <w:tcW w:w="2830"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ascii="Arial" w:hAnsi="Arial" w:cs="Arial"/>
                <w:i w:val="0"/>
                <w:color w:val="auto"/>
                <w:sz w:val="20"/>
                <w:szCs w:val="20"/>
                <w:u w:val="none"/>
              </w:rPr>
            </w:pPr>
            <w:r>
              <w:rPr>
                <w:rFonts w:hint="default" w:ascii="Arial" w:hAnsi="Arial" w:eastAsia="宋体" w:cs="Arial"/>
                <w:i w:val="0"/>
                <w:color w:val="auto"/>
                <w:kern w:val="0"/>
                <w:sz w:val="20"/>
                <w:szCs w:val="20"/>
                <w:u w:val="none"/>
                <w:lang w:val="en-US" w:eastAsia="zh-CN" w:bidi="ar"/>
              </w:rPr>
              <w:drawing>
                <wp:anchor distT="0" distB="0" distL="114300" distR="114300" simplePos="0" relativeHeight="251659264" behindDoc="0" locked="0" layoutInCell="1" allowOverlap="1">
                  <wp:simplePos x="0" y="0"/>
                  <wp:positionH relativeFrom="column">
                    <wp:posOffset>-725170</wp:posOffset>
                  </wp:positionH>
                  <wp:positionV relativeFrom="paragraph">
                    <wp:posOffset>-478155</wp:posOffset>
                  </wp:positionV>
                  <wp:extent cx="6849745" cy="2791460"/>
                  <wp:effectExtent l="0" t="0" r="8255" b="8890"/>
                  <wp:wrapNone/>
                  <wp:docPr id="7" name="图片_1"/>
                  <wp:cNvGraphicFramePr/>
                  <a:graphic xmlns:a="http://schemas.openxmlformats.org/drawingml/2006/main">
                    <a:graphicData uri="http://schemas.openxmlformats.org/drawingml/2006/picture">
                      <pic:pic xmlns:pic="http://schemas.openxmlformats.org/drawingml/2006/picture">
                        <pic:nvPicPr>
                          <pic:cNvPr id="7" name="图片_1"/>
                          <pic:cNvPicPr/>
                        </pic:nvPicPr>
                        <pic:blipFill>
                          <a:blip r:embed="rId17"/>
                          <a:stretch>
                            <a:fillRect/>
                          </a:stretch>
                        </pic:blipFill>
                        <pic:spPr>
                          <a:xfrm>
                            <a:off x="0" y="0"/>
                            <a:ext cx="6849745" cy="2791460"/>
                          </a:xfrm>
                          <a:prstGeom prst="rect">
                            <a:avLst/>
                          </a:prstGeom>
                          <a:noFill/>
                          <a:ln>
                            <a:noFill/>
                          </a:ln>
                        </pic:spPr>
                      </pic:pic>
                    </a:graphicData>
                  </a:graphic>
                </wp:anchor>
              </w:drawing>
            </w:r>
          </w:p>
        </w:tc>
        <w:tc>
          <w:tcPr>
            <w:tcW w:w="48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48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3195"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2366"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180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180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180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180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r>
      <w:tr>
        <w:tblPrEx>
          <w:shd w:val="clear" w:color="auto" w:fill="auto"/>
          <w:tblCellMar>
            <w:top w:w="0" w:type="dxa"/>
            <w:left w:w="0" w:type="dxa"/>
            <w:bottom w:w="0" w:type="dxa"/>
            <w:right w:w="0" w:type="dxa"/>
          </w:tblCellMar>
        </w:tblPrEx>
        <w:trPr>
          <w:trHeight w:val="255" w:hRule="atLeast"/>
        </w:trPr>
        <w:tc>
          <w:tcPr>
            <w:tcW w:w="283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48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48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3195"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2366"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180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180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180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1800"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金额单位：万元</w:t>
            </w:r>
          </w:p>
        </w:tc>
      </w:tr>
      <w:tr>
        <w:tblPrEx>
          <w:shd w:val="clear" w:color="auto" w:fill="auto"/>
          <w:tblCellMar>
            <w:top w:w="0" w:type="dxa"/>
            <w:left w:w="0" w:type="dxa"/>
            <w:bottom w:w="0" w:type="dxa"/>
            <w:right w:w="0" w:type="dxa"/>
          </w:tblCellMar>
        </w:tblPrEx>
        <w:trPr>
          <w:trHeight w:val="255" w:hRule="atLeast"/>
        </w:trPr>
        <w:tc>
          <w:tcPr>
            <w:tcW w:w="2830"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编制单位：中共大余县委信访局</w:t>
            </w:r>
          </w:p>
        </w:tc>
        <w:tc>
          <w:tcPr>
            <w:tcW w:w="48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48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3195"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2366"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180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180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180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1800"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公开08表</w:t>
            </w:r>
          </w:p>
        </w:tc>
      </w:tr>
    </w:tbl>
    <w:p>
      <w:pPr>
        <w:autoSpaceDE w:val="0"/>
        <w:autoSpaceDN w:val="0"/>
        <w:adjustRightInd w:val="0"/>
        <w:spacing w:line="360" w:lineRule="auto"/>
        <w:jc w:val="left"/>
        <w:rPr>
          <w:rFonts w:hint="eastAsia"/>
          <w:color w:val="auto"/>
          <w:szCs w:val="30"/>
        </w:rPr>
      </w:pPr>
    </w:p>
    <w:p>
      <w:pPr>
        <w:autoSpaceDE w:val="0"/>
        <w:autoSpaceDN w:val="0"/>
        <w:adjustRightInd w:val="0"/>
        <w:spacing w:line="360" w:lineRule="auto"/>
        <w:jc w:val="left"/>
        <w:rPr>
          <w:rFonts w:hint="eastAsia"/>
          <w:color w:val="auto"/>
          <w:szCs w:val="30"/>
        </w:rPr>
      </w:pPr>
    </w:p>
    <w:p>
      <w:pPr>
        <w:autoSpaceDE w:val="0"/>
        <w:autoSpaceDN w:val="0"/>
        <w:adjustRightInd w:val="0"/>
        <w:spacing w:line="360" w:lineRule="auto"/>
        <w:jc w:val="left"/>
        <w:rPr>
          <w:rFonts w:hint="eastAsia" w:ascii="仿宋" w:hAnsi="仿宋" w:eastAsia="仿宋" w:cs="仿宋_GB2312"/>
          <w:color w:val="auto"/>
          <w:kern w:val="0"/>
          <w:sz w:val="30"/>
          <w:szCs w:val="30"/>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jc w:val="both"/>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tbl>
      <w:tblPr>
        <w:tblStyle w:val="6"/>
        <w:tblW w:w="7870" w:type="dxa"/>
        <w:tblInd w:w="0" w:type="dxa"/>
        <w:shd w:val="clear" w:color="auto" w:fill="auto"/>
        <w:tblLayout w:type="autofit"/>
        <w:tblCellMar>
          <w:top w:w="0" w:type="dxa"/>
          <w:left w:w="0" w:type="dxa"/>
          <w:bottom w:w="0" w:type="dxa"/>
          <w:right w:w="0" w:type="dxa"/>
        </w:tblCellMar>
      </w:tblPr>
      <w:tblGrid>
        <w:gridCol w:w="5659"/>
        <w:gridCol w:w="1018"/>
        <w:gridCol w:w="1193"/>
      </w:tblGrid>
      <w:tr>
        <w:tblPrEx>
          <w:shd w:val="clear" w:color="auto" w:fill="auto"/>
          <w:tblCellMar>
            <w:top w:w="0" w:type="dxa"/>
            <w:left w:w="0" w:type="dxa"/>
            <w:bottom w:w="0" w:type="dxa"/>
            <w:right w:w="0" w:type="dxa"/>
          </w:tblCellMar>
        </w:tblPrEx>
        <w:trPr>
          <w:trHeight w:val="255" w:hRule="atLeast"/>
        </w:trPr>
        <w:tc>
          <w:tcPr>
            <w:tcW w:w="565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1018"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auto"/>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kern w:val="0"/>
                <w:sz w:val="20"/>
                <w:szCs w:val="20"/>
                <w:u w:val="none"/>
                <w:lang w:val="en-US" w:eastAsia="zh-CN" w:bidi="ar"/>
              </w:rPr>
            </w:pPr>
          </w:p>
          <w:p>
            <w:pPr>
              <w:keepNext w:val="0"/>
              <w:keepLines w:val="0"/>
              <w:widowControl/>
              <w:suppressLineNumbers w:val="0"/>
              <w:jc w:val="right"/>
              <w:textAlignment w:val="bottom"/>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单位：万元</w:t>
            </w:r>
          </w:p>
        </w:tc>
      </w:tr>
      <w:tr>
        <w:tblPrEx>
          <w:shd w:val="clear" w:color="auto" w:fill="auto"/>
          <w:tblCellMar>
            <w:top w:w="0" w:type="dxa"/>
            <w:left w:w="0" w:type="dxa"/>
            <w:bottom w:w="0" w:type="dxa"/>
            <w:right w:w="0" w:type="dxa"/>
          </w:tblCellMar>
        </w:tblPrEx>
        <w:trPr>
          <w:trHeight w:val="729" w:hRule="atLeast"/>
        </w:trPr>
        <w:tc>
          <w:tcPr>
            <w:tcW w:w="5659"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auto"/>
                <w:kern w:val="0"/>
                <w:sz w:val="20"/>
                <w:szCs w:val="20"/>
                <w:u w:val="none"/>
                <w:lang w:val="en-US" w:eastAsia="zh-CN" w:bidi="ar"/>
              </w:rPr>
            </w:pPr>
            <w:r>
              <w:rPr>
                <w:rFonts w:hint="eastAsia" w:ascii="宋体" w:hAnsi="宋体" w:cs="宋体"/>
                <w:b/>
                <w:bCs/>
                <w:i w:val="0"/>
                <w:color w:val="auto"/>
                <w:kern w:val="0"/>
                <w:sz w:val="22"/>
                <w:szCs w:val="22"/>
                <w:u w:val="none"/>
                <w:lang w:val="en-US" w:eastAsia="zh-CN" w:bidi="ar"/>
              </w:rPr>
              <w:t xml:space="preserve">                          国有资产占用情况表</w:t>
            </w:r>
          </w:p>
          <w:p>
            <w:pPr>
              <w:keepNext w:val="0"/>
              <w:keepLines w:val="0"/>
              <w:widowControl/>
              <w:suppressLineNumbers w:val="0"/>
              <w:jc w:val="left"/>
              <w:textAlignment w:val="bottom"/>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编制单位：中共大余县委信访局</w:t>
            </w:r>
          </w:p>
        </w:tc>
        <w:tc>
          <w:tcPr>
            <w:tcW w:w="1018"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2019年度</w:t>
            </w: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批复09表</w:t>
            </w:r>
          </w:p>
        </w:tc>
      </w:tr>
      <w:tr>
        <w:tblPrEx>
          <w:shd w:val="clear" w:color="auto" w:fill="auto"/>
          <w:tblCellMar>
            <w:top w:w="0" w:type="dxa"/>
            <w:left w:w="0" w:type="dxa"/>
            <w:bottom w:w="0" w:type="dxa"/>
            <w:right w:w="0" w:type="dxa"/>
          </w:tblCellMar>
        </w:tblPrEx>
        <w:trPr>
          <w:trHeight w:val="308" w:hRule="atLeast"/>
        </w:trPr>
        <w:tc>
          <w:tcPr>
            <w:tcW w:w="565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项  目</w:t>
            </w:r>
          </w:p>
        </w:tc>
        <w:tc>
          <w:tcPr>
            <w:tcW w:w="1018" w:type="dxa"/>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栏次</w:t>
            </w:r>
          </w:p>
        </w:tc>
        <w:tc>
          <w:tcPr>
            <w:tcW w:w="0" w:type="auto"/>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决算数</w:t>
            </w:r>
          </w:p>
        </w:tc>
      </w:tr>
      <w:tr>
        <w:tblPrEx>
          <w:shd w:val="clear" w:color="auto" w:fill="auto"/>
          <w:tblCellMar>
            <w:top w:w="0" w:type="dxa"/>
            <w:left w:w="0" w:type="dxa"/>
            <w:bottom w:w="0" w:type="dxa"/>
            <w:right w:w="0" w:type="dxa"/>
          </w:tblCellMar>
        </w:tblPrEx>
        <w:trPr>
          <w:trHeight w:val="308" w:hRule="atLeast"/>
        </w:trPr>
        <w:tc>
          <w:tcPr>
            <w:tcW w:w="5659"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一、车辆数合计(台、辆)</w:t>
            </w:r>
          </w:p>
        </w:tc>
        <w:tc>
          <w:tcPr>
            <w:tcW w:w="101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auto"/>
                <w:sz w:val="22"/>
                <w:szCs w:val="22"/>
                <w:u w:val="none"/>
              </w:rPr>
            </w:pPr>
          </w:p>
        </w:tc>
      </w:tr>
      <w:tr>
        <w:tblPrEx>
          <w:shd w:val="clear" w:color="auto" w:fill="auto"/>
          <w:tblCellMar>
            <w:top w:w="0" w:type="dxa"/>
            <w:left w:w="0" w:type="dxa"/>
            <w:bottom w:w="0" w:type="dxa"/>
            <w:right w:w="0" w:type="dxa"/>
          </w:tblCellMar>
        </w:tblPrEx>
        <w:trPr>
          <w:trHeight w:val="308" w:hRule="atLeast"/>
        </w:trPr>
        <w:tc>
          <w:tcPr>
            <w:tcW w:w="5659"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 xml:space="preserve">  1.副部（省）级及以上领导用车</w:t>
            </w:r>
          </w:p>
        </w:tc>
        <w:tc>
          <w:tcPr>
            <w:tcW w:w="101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auto"/>
                <w:sz w:val="22"/>
                <w:szCs w:val="22"/>
                <w:u w:val="none"/>
              </w:rPr>
            </w:pPr>
          </w:p>
        </w:tc>
      </w:tr>
      <w:tr>
        <w:tblPrEx>
          <w:shd w:val="clear" w:color="auto" w:fill="auto"/>
          <w:tblCellMar>
            <w:top w:w="0" w:type="dxa"/>
            <w:left w:w="0" w:type="dxa"/>
            <w:bottom w:w="0" w:type="dxa"/>
            <w:right w:w="0" w:type="dxa"/>
          </w:tblCellMar>
        </w:tblPrEx>
        <w:trPr>
          <w:trHeight w:val="308" w:hRule="atLeast"/>
        </w:trPr>
        <w:tc>
          <w:tcPr>
            <w:tcW w:w="5659"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 xml:space="preserve">  2.主要领导干部用车</w:t>
            </w:r>
          </w:p>
        </w:tc>
        <w:tc>
          <w:tcPr>
            <w:tcW w:w="101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auto"/>
                <w:sz w:val="22"/>
                <w:szCs w:val="22"/>
                <w:u w:val="none"/>
              </w:rPr>
            </w:pPr>
          </w:p>
        </w:tc>
      </w:tr>
      <w:tr>
        <w:tblPrEx>
          <w:shd w:val="clear" w:color="auto" w:fill="auto"/>
          <w:tblCellMar>
            <w:top w:w="0" w:type="dxa"/>
            <w:left w:w="0" w:type="dxa"/>
            <w:bottom w:w="0" w:type="dxa"/>
            <w:right w:w="0" w:type="dxa"/>
          </w:tblCellMar>
        </w:tblPrEx>
        <w:trPr>
          <w:trHeight w:val="308" w:hRule="atLeast"/>
        </w:trPr>
        <w:tc>
          <w:tcPr>
            <w:tcW w:w="5659"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 xml:space="preserve">  3.机要通信用车</w:t>
            </w:r>
          </w:p>
        </w:tc>
        <w:tc>
          <w:tcPr>
            <w:tcW w:w="101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auto"/>
                <w:sz w:val="22"/>
                <w:szCs w:val="22"/>
                <w:u w:val="none"/>
              </w:rPr>
            </w:pPr>
          </w:p>
        </w:tc>
      </w:tr>
      <w:tr>
        <w:tblPrEx>
          <w:shd w:val="clear" w:color="auto" w:fill="auto"/>
          <w:tblCellMar>
            <w:top w:w="0" w:type="dxa"/>
            <w:left w:w="0" w:type="dxa"/>
            <w:bottom w:w="0" w:type="dxa"/>
            <w:right w:w="0" w:type="dxa"/>
          </w:tblCellMar>
        </w:tblPrEx>
        <w:trPr>
          <w:trHeight w:val="308" w:hRule="atLeast"/>
        </w:trPr>
        <w:tc>
          <w:tcPr>
            <w:tcW w:w="5659"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 xml:space="preserve">  4.应急保障用车</w:t>
            </w:r>
          </w:p>
        </w:tc>
        <w:tc>
          <w:tcPr>
            <w:tcW w:w="101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auto"/>
                <w:sz w:val="22"/>
                <w:szCs w:val="22"/>
                <w:u w:val="none"/>
              </w:rPr>
            </w:pPr>
          </w:p>
        </w:tc>
      </w:tr>
      <w:tr>
        <w:tblPrEx>
          <w:shd w:val="clear" w:color="auto" w:fill="auto"/>
          <w:tblCellMar>
            <w:top w:w="0" w:type="dxa"/>
            <w:left w:w="0" w:type="dxa"/>
            <w:bottom w:w="0" w:type="dxa"/>
            <w:right w:w="0" w:type="dxa"/>
          </w:tblCellMar>
        </w:tblPrEx>
        <w:trPr>
          <w:trHeight w:val="308" w:hRule="atLeast"/>
        </w:trPr>
        <w:tc>
          <w:tcPr>
            <w:tcW w:w="5659"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 xml:space="preserve">  5.执法执勤用车</w:t>
            </w:r>
          </w:p>
        </w:tc>
        <w:tc>
          <w:tcPr>
            <w:tcW w:w="101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auto"/>
                <w:sz w:val="22"/>
                <w:szCs w:val="22"/>
                <w:u w:val="none"/>
              </w:rPr>
            </w:pPr>
          </w:p>
        </w:tc>
      </w:tr>
      <w:tr>
        <w:tblPrEx>
          <w:shd w:val="clear" w:color="auto" w:fill="auto"/>
          <w:tblCellMar>
            <w:top w:w="0" w:type="dxa"/>
            <w:left w:w="0" w:type="dxa"/>
            <w:bottom w:w="0" w:type="dxa"/>
            <w:right w:w="0" w:type="dxa"/>
          </w:tblCellMar>
        </w:tblPrEx>
        <w:trPr>
          <w:trHeight w:val="308" w:hRule="atLeast"/>
        </w:trPr>
        <w:tc>
          <w:tcPr>
            <w:tcW w:w="5659"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 xml:space="preserve">  6.特种专业技术用车</w:t>
            </w:r>
          </w:p>
        </w:tc>
        <w:tc>
          <w:tcPr>
            <w:tcW w:w="101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auto"/>
                <w:sz w:val="22"/>
                <w:szCs w:val="22"/>
                <w:u w:val="none"/>
              </w:rPr>
            </w:pPr>
          </w:p>
        </w:tc>
      </w:tr>
      <w:tr>
        <w:tblPrEx>
          <w:shd w:val="clear" w:color="auto" w:fill="auto"/>
          <w:tblCellMar>
            <w:top w:w="0" w:type="dxa"/>
            <w:left w:w="0" w:type="dxa"/>
            <w:bottom w:w="0" w:type="dxa"/>
            <w:right w:w="0" w:type="dxa"/>
          </w:tblCellMar>
        </w:tblPrEx>
        <w:trPr>
          <w:trHeight w:val="308" w:hRule="atLeast"/>
        </w:trPr>
        <w:tc>
          <w:tcPr>
            <w:tcW w:w="5659"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 xml:space="preserve">  7.离退休干部用车</w:t>
            </w:r>
          </w:p>
        </w:tc>
        <w:tc>
          <w:tcPr>
            <w:tcW w:w="101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auto"/>
                <w:sz w:val="22"/>
                <w:szCs w:val="22"/>
                <w:u w:val="none"/>
              </w:rPr>
            </w:pPr>
          </w:p>
        </w:tc>
      </w:tr>
      <w:tr>
        <w:tblPrEx>
          <w:shd w:val="clear" w:color="auto" w:fill="auto"/>
          <w:tblCellMar>
            <w:top w:w="0" w:type="dxa"/>
            <w:left w:w="0" w:type="dxa"/>
            <w:bottom w:w="0" w:type="dxa"/>
            <w:right w:w="0" w:type="dxa"/>
          </w:tblCellMar>
        </w:tblPrEx>
        <w:trPr>
          <w:trHeight w:val="308" w:hRule="atLeast"/>
        </w:trPr>
        <w:tc>
          <w:tcPr>
            <w:tcW w:w="5659"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 xml:space="preserve">  8.其他用车</w:t>
            </w:r>
          </w:p>
        </w:tc>
        <w:tc>
          <w:tcPr>
            <w:tcW w:w="101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auto"/>
                <w:sz w:val="22"/>
                <w:szCs w:val="22"/>
                <w:u w:val="none"/>
              </w:rPr>
            </w:pPr>
          </w:p>
        </w:tc>
      </w:tr>
      <w:tr>
        <w:tblPrEx>
          <w:shd w:val="clear" w:color="auto" w:fill="auto"/>
          <w:tblCellMar>
            <w:top w:w="0" w:type="dxa"/>
            <w:left w:w="0" w:type="dxa"/>
            <w:bottom w:w="0" w:type="dxa"/>
            <w:right w:w="0" w:type="dxa"/>
          </w:tblCellMar>
        </w:tblPrEx>
        <w:trPr>
          <w:trHeight w:val="308" w:hRule="atLeast"/>
        </w:trPr>
        <w:tc>
          <w:tcPr>
            <w:tcW w:w="5659"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二、单价50万元（含）以上通用设备（台，套）</w:t>
            </w:r>
          </w:p>
        </w:tc>
        <w:tc>
          <w:tcPr>
            <w:tcW w:w="101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auto"/>
                <w:sz w:val="22"/>
                <w:szCs w:val="22"/>
                <w:u w:val="none"/>
              </w:rPr>
            </w:pPr>
          </w:p>
        </w:tc>
      </w:tr>
      <w:tr>
        <w:tblPrEx>
          <w:shd w:val="clear" w:color="auto" w:fill="auto"/>
          <w:tblCellMar>
            <w:top w:w="0" w:type="dxa"/>
            <w:left w:w="0" w:type="dxa"/>
            <w:bottom w:w="0" w:type="dxa"/>
            <w:right w:w="0" w:type="dxa"/>
          </w:tblCellMar>
        </w:tblPrEx>
        <w:trPr>
          <w:trHeight w:val="308" w:hRule="atLeast"/>
        </w:trPr>
        <w:tc>
          <w:tcPr>
            <w:tcW w:w="5659"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三、单价100万元（含）以上专用设备（台，套）</w:t>
            </w:r>
          </w:p>
        </w:tc>
        <w:tc>
          <w:tcPr>
            <w:tcW w:w="101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auto"/>
                <w:sz w:val="22"/>
                <w:szCs w:val="22"/>
                <w:u w:val="none"/>
              </w:rPr>
            </w:pPr>
          </w:p>
        </w:tc>
      </w:tr>
    </w:tbl>
    <w:p>
      <w:pPr>
        <w:widowControl/>
        <w:spacing w:line="600" w:lineRule="exact"/>
        <w:ind w:firstLine="640"/>
        <w:jc w:val="both"/>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p>
    <w:p>
      <w:pPr>
        <w:widowControl/>
        <w:spacing w:line="600" w:lineRule="exact"/>
        <w:jc w:val="both"/>
        <w:rPr>
          <w:rFonts w:hint="eastAsia" w:ascii="宋体" w:hAnsi="宋体"/>
          <w:b/>
          <w:color w:val="auto"/>
          <w:sz w:val="32"/>
          <w:szCs w:val="32"/>
        </w:rPr>
      </w:pPr>
    </w:p>
    <w:p>
      <w:pPr>
        <w:widowControl/>
        <w:spacing w:line="600" w:lineRule="exact"/>
        <w:ind w:firstLine="640"/>
        <w:jc w:val="center"/>
        <w:rPr>
          <w:rFonts w:hint="eastAsia" w:ascii="宋体" w:hAnsi="宋体"/>
          <w:b/>
          <w:color w:val="auto"/>
          <w:sz w:val="32"/>
          <w:szCs w:val="32"/>
        </w:rPr>
      </w:pPr>
      <w:r>
        <w:rPr>
          <w:rFonts w:hint="eastAsia" w:ascii="宋体" w:hAnsi="宋体"/>
          <w:b/>
          <w:color w:val="auto"/>
          <w:sz w:val="32"/>
          <w:szCs w:val="32"/>
        </w:rPr>
        <w:t>第三部分  201</w:t>
      </w:r>
      <w:r>
        <w:rPr>
          <w:rFonts w:hint="eastAsia" w:ascii="宋体" w:hAnsi="宋体"/>
          <w:b/>
          <w:color w:val="auto"/>
          <w:sz w:val="32"/>
          <w:szCs w:val="32"/>
          <w:lang w:val="en-US" w:eastAsia="zh-CN"/>
        </w:rPr>
        <w:t>9</w:t>
      </w:r>
      <w:r>
        <w:rPr>
          <w:rFonts w:hint="eastAsia" w:ascii="宋体" w:hAnsi="宋体"/>
          <w:b/>
          <w:color w:val="auto"/>
          <w:sz w:val="32"/>
          <w:szCs w:val="32"/>
        </w:rPr>
        <w:t>年度部门决算情况说明</w:t>
      </w:r>
    </w:p>
    <w:p>
      <w:pPr>
        <w:ind w:firstLine="630"/>
        <w:jc w:val="left"/>
        <w:rPr>
          <w:rFonts w:hint="eastAsia" w:ascii="黑体" w:hAnsi="黑体" w:eastAsia="黑体"/>
          <w:color w:val="auto"/>
          <w:sz w:val="30"/>
          <w:szCs w:val="30"/>
        </w:rPr>
      </w:pPr>
      <w:r>
        <w:rPr>
          <w:rFonts w:hint="eastAsia" w:ascii="黑体" w:hAnsi="黑体" w:eastAsia="黑体"/>
          <w:color w:val="auto"/>
          <w:sz w:val="30"/>
          <w:szCs w:val="30"/>
        </w:rPr>
        <w:t>一、收入决算情况说明</w:t>
      </w:r>
    </w:p>
    <w:p>
      <w:pPr>
        <w:ind w:firstLine="630"/>
        <w:jc w:val="left"/>
        <w:rPr>
          <w:rFonts w:hint="eastAsia" w:ascii="仿宋" w:hAnsi="仿宋" w:eastAsia="仿宋"/>
          <w:color w:val="auto"/>
          <w:sz w:val="30"/>
          <w:szCs w:val="30"/>
        </w:rPr>
      </w:pPr>
      <w:r>
        <w:rPr>
          <w:rFonts w:hint="eastAsia" w:ascii="仿宋" w:hAnsi="仿宋" w:eastAsia="仿宋"/>
          <w:color w:val="auto"/>
          <w:sz w:val="30"/>
          <w:szCs w:val="30"/>
        </w:rPr>
        <w:t>本部门201</w:t>
      </w:r>
      <w:r>
        <w:rPr>
          <w:rFonts w:hint="eastAsia" w:ascii="仿宋" w:hAnsi="仿宋" w:eastAsia="仿宋"/>
          <w:color w:val="auto"/>
          <w:sz w:val="30"/>
          <w:szCs w:val="30"/>
          <w:lang w:val="en-US" w:eastAsia="zh-CN"/>
        </w:rPr>
        <w:t>9</w:t>
      </w:r>
      <w:r>
        <w:rPr>
          <w:rFonts w:hint="eastAsia" w:ascii="仿宋" w:hAnsi="仿宋" w:eastAsia="仿宋"/>
          <w:color w:val="auto"/>
          <w:sz w:val="30"/>
          <w:szCs w:val="30"/>
        </w:rPr>
        <w:t>年度收入总计</w:t>
      </w:r>
      <w:r>
        <w:rPr>
          <w:rFonts w:hint="eastAsia" w:ascii="仿宋" w:hAnsi="仿宋" w:eastAsia="仿宋"/>
          <w:color w:val="auto"/>
          <w:sz w:val="30"/>
          <w:szCs w:val="30"/>
          <w:lang w:val="en-US" w:eastAsia="zh-CN"/>
        </w:rPr>
        <w:t>223.04</w:t>
      </w:r>
      <w:r>
        <w:rPr>
          <w:rFonts w:hint="eastAsia" w:ascii="仿宋" w:hAnsi="仿宋" w:eastAsia="仿宋"/>
          <w:color w:val="auto"/>
          <w:sz w:val="30"/>
          <w:szCs w:val="30"/>
        </w:rPr>
        <w:t>万元，其中年初结转和结余</w:t>
      </w:r>
      <w:r>
        <w:rPr>
          <w:rFonts w:hint="eastAsia" w:ascii="仿宋" w:hAnsi="仿宋" w:eastAsia="仿宋"/>
          <w:color w:val="auto"/>
          <w:sz w:val="30"/>
          <w:szCs w:val="30"/>
          <w:lang w:val="en-US" w:eastAsia="zh-CN"/>
        </w:rPr>
        <w:t>28.63</w:t>
      </w:r>
      <w:r>
        <w:rPr>
          <w:rFonts w:hint="eastAsia" w:ascii="仿宋" w:hAnsi="仿宋" w:eastAsia="仿宋"/>
          <w:color w:val="auto"/>
          <w:sz w:val="30"/>
          <w:szCs w:val="30"/>
        </w:rPr>
        <w:t>万元，较201</w:t>
      </w:r>
      <w:r>
        <w:rPr>
          <w:rFonts w:hint="eastAsia" w:ascii="仿宋" w:hAnsi="仿宋" w:eastAsia="仿宋"/>
          <w:color w:val="auto"/>
          <w:sz w:val="30"/>
          <w:szCs w:val="30"/>
          <w:lang w:val="en-US" w:eastAsia="zh-CN"/>
        </w:rPr>
        <w:t>8</w:t>
      </w:r>
      <w:r>
        <w:rPr>
          <w:rFonts w:hint="eastAsia" w:ascii="仿宋" w:hAnsi="仿宋" w:eastAsia="仿宋"/>
          <w:color w:val="auto"/>
          <w:sz w:val="30"/>
          <w:szCs w:val="30"/>
        </w:rPr>
        <w:t>年减少</w:t>
      </w:r>
      <w:r>
        <w:rPr>
          <w:rFonts w:hint="eastAsia" w:ascii="仿宋" w:hAnsi="仿宋" w:eastAsia="仿宋"/>
          <w:color w:val="auto"/>
          <w:sz w:val="30"/>
          <w:szCs w:val="30"/>
          <w:lang w:val="en-US" w:eastAsia="zh-CN"/>
        </w:rPr>
        <w:t>10.46</w:t>
      </w:r>
      <w:r>
        <w:rPr>
          <w:rFonts w:hint="eastAsia" w:ascii="仿宋" w:hAnsi="仿宋" w:eastAsia="仿宋"/>
          <w:color w:val="auto"/>
          <w:sz w:val="30"/>
          <w:szCs w:val="30"/>
        </w:rPr>
        <w:t>万元，下降</w:t>
      </w:r>
      <w:r>
        <w:rPr>
          <w:rFonts w:hint="eastAsia" w:ascii="仿宋" w:hAnsi="仿宋" w:eastAsia="仿宋"/>
          <w:color w:val="auto"/>
          <w:sz w:val="30"/>
          <w:szCs w:val="30"/>
          <w:lang w:val="en-US" w:eastAsia="zh-CN"/>
        </w:rPr>
        <w:t>26.75</w:t>
      </w:r>
      <w:r>
        <w:rPr>
          <w:rFonts w:hint="eastAsia" w:ascii="仿宋" w:hAnsi="仿宋" w:eastAsia="仿宋"/>
          <w:color w:val="auto"/>
          <w:sz w:val="30"/>
          <w:szCs w:val="30"/>
        </w:rPr>
        <w:t xml:space="preserve"> %；本年收入合计</w:t>
      </w:r>
      <w:r>
        <w:rPr>
          <w:rFonts w:hint="eastAsia" w:ascii="仿宋" w:hAnsi="仿宋" w:eastAsia="仿宋"/>
          <w:color w:val="auto"/>
          <w:sz w:val="30"/>
          <w:szCs w:val="30"/>
          <w:lang w:val="en-US" w:eastAsia="zh-CN"/>
        </w:rPr>
        <w:t>194.41</w:t>
      </w:r>
      <w:r>
        <w:rPr>
          <w:rFonts w:hint="eastAsia" w:ascii="仿宋" w:hAnsi="仿宋" w:eastAsia="仿宋"/>
          <w:color w:val="auto"/>
          <w:sz w:val="30"/>
          <w:szCs w:val="30"/>
        </w:rPr>
        <w:t>万元，较201</w:t>
      </w:r>
      <w:r>
        <w:rPr>
          <w:rFonts w:hint="eastAsia" w:ascii="仿宋" w:hAnsi="仿宋" w:eastAsia="仿宋"/>
          <w:color w:val="auto"/>
          <w:sz w:val="30"/>
          <w:szCs w:val="30"/>
          <w:lang w:val="en-US" w:eastAsia="zh-CN"/>
        </w:rPr>
        <w:t>8</w:t>
      </w:r>
      <w:r>
        <w:rPr>
          <w:rFonts w:hint="eastAsia" w:ascii="仿宋" w:hAnsi="仿宋" w:eastAsia="仿宋"/>
          <w:color w:val="auto"/>
          <w:sz w:val="30"/>
          <w:szCs w:val="30"/>
        </w:rPr>
        <w:t>年减少</w:t>
      </w:r>
      <w:r>
        <w:rPr>
          <w:rFonts w:hint="eastAsia" w:ascii="仿宋" w:hAnsi="仿宋" w:eastAsia="仿宋"/>
          <w:color w:val="auto"/>
          <w:sz w:val="30"/>
          <w:szCs w:val="30"/>
          <w:lang w:val="en-US" w:eastAsia="zh-CN"/>
        </w:rPr>
        <w:t>62.01</w:t>
      </w:r>
      <w:r>
        <w:rPr>
          <w:rFonts w:hint="eastAsia" w:ascii="仿宋" w:hAnsi="仿宋" w:eastAsia="仿宋"/>
          <w:color w:val="auto"/>
          <w:sz w:val="30"/>
          <w:szCs w:val="30"/>
        </w:rPr>
        <w:t>万元，下降</w:t>
      </w:r>
      <w:r>
        <w:rPr>
          <w:rFonts w:hint="eastAsia" w:ascii="仿宋" w:hAnsi="仿宋" w:eastAsia="仿宋"/>
          <w:color w:val="auto"/>
          <w:sz w:val="30"/>
          <w:szCs w:val="30"/>
          <w:lang w:val="en-US" w:eastAsia="zh-CN"/>
        </w:rPr>
        <w:t>24.2</w:t>
      </w:r>
      <w:r>
        <w:rPr>
          <w:rFonts w:hint="eastAsia" w:ascii="仿宋" w:hAnsi="仿宋" w:eastAsia="仿宋"/>
          <w:color w:val="auto"/>
          <w:sz w:val="30"/>
          <w:szCs w:val="30"/>
        </w:rPr>
        <w:t>%，主要原因是：其他性收入比去年</w:t>
      </w:r>
      <w:r>
        <w:rPr>
          <w:rFonts w:hint="eastAsia" w:ascii="仿宋" w:hAnsi="仿宋" w:eastAsia="仿宋"/>
          <w:color w:val="auto"/>
          <w:sz w:val="30"/>
          <w:szCs w:val="30"/>
          <w:lang w:eastAsia="zh-CN"/>
        </w:rPr>
        <w:t>减少</w:t>
      </w:r>
      <w:r>
        <w:rPr>
          <w:rFonts w:hint="eastAsia" w:ascii="仿宋" w:hAnsi="仿宋" w:eastAsia="仿宋"/>
          <w:color w:val="auto"/>
          <w:sz w:val="30"/>
          <w:szCs w:val="30"/>
          <w:lang w:val="en-US" w:eastAsia="zh-CN"/>
        </w:rPr>
        <w:t>35.87万元</w:t>
      </w:r>
      <w:r>
        <w:rPr>
          <w:rFonts w:hint="eastAsia" w:ascii="仿宋" w:hAnsi="仿宋" w:eastAsia="仿宋"/>
          <w:color w:val="auto"/>
          <w:sz w:val="30"/>
          <w:szCs w:val="30"/>
        </w:rPr>
        <w:t>。</w:t>
      </w:r>
    </w:p>
    <w:p>
      <w:pPr>
        <w:ind w:firstLine="630"/>
        <w:jc w:val="left"/>
        <w:rPr>
          <w:rFonts w:hint="eastAsia" w:ascii="仿宋" w:hAnsi="仿宋" w:eastAsia="仿宋"/>
          <w:color w:val="auto"/>
          <w:sz w:val="30"/>
          <w:szCs w:val="30"/>
        </w:rPr>
      </w:pPr>
      <w:r>
        <w:rPr>
          <w:rFonts w:hint="eastAsia" w:ascii="仿宋" w:hAnsi="仿宋" w:eastAsia="仿宋"/>
          <w:color w:val="auto"/>
          <w:sz w:val="30"/>
          <w:szCs w:val="30"/>
        </w:rPr>
        <w:t>本年收入的具体构成为：财政拨款收入</w:t>
      </w:r>
      <w:r>
        <w:rPr>
          <w:rFonts w:hint="eastAsia" w:ascii="仿宋" w:hAnsi="仿宋" w:eastAsia="仿宋"/>
          <w:color w:val="auto"/>
          <w:sz w:val="30"/>
          <w:szCs w:val="30"/>
          <w:lang w:val="en-US" w:eastAsia="zh-CN"/>
        </w:rPr>
        <w:t>194.41</w:t>
      </w:r>
      <w:r>
        <w:rPr>
          <w:rFonts w:hint="eastAsia" w:ascii="仿宋" w:hAnsi="仿宋" w:eastAsia="仿宋"/>
          <w:color w:val="auto"/>
          <w:sz w:val="30"/>
          <w:szCs w:val="30"/>
        </w:rPr>
        <w:t>万元，占</w:t>
      </w:r>
      <w:r>
        <w:rPr>
          <w:rFonts w:hint="eastAsia" w:ascii="仿宋" w:hAnsi="仿宋" w:eastAsia="仿宋"/>
          <w:color w:val="auto"/>
          <w:sz w:val="30"/>
          <w:szCs w:val="30"/>
          <w:lang w:val="en-US" w:eastAsia="zh-CN"/>
        </w:rPr>
        <w:t>100</w:t>
      </w:r>
      <w:r>
        <w:rPr>
          <w:rFonts w:hint="eastAsia" w:ascii="仿宋" w:hAnsi="仿宋" w:eastAsia="仿宋"/>
          <w:color w:val="auto"/>
          <w:sz w:val="30"/>
          <w:szCs w:val="30"/>
        </w:rPr>
        <w:t>%；事业收入</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万元，占</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%；经营收入</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万元，占</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%；其他收入</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万元，占</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 xml:space="preserve">%。  </w:t>
      </w:r>
    </w:p>
    <w:p>
      <w:pPr>
        <w:ind w:firstLine="630"/>
        <w:jc w:val="left"/>
        <w:rPr>
          <w:rFonts w:hint="eastAsia" w:ascii="黑体" w:hAnsi="黑体" w:eastAsia="黑体"/>
          <w:color w:val="auto"/>
          <w:sz w:val="30"/>
          <w:szCs w:val="30"/>
        </w:rPr>
      </w:pPr>
      <w:r>
        <w:rPr>
          <w:rFonts w:hint="eastAsia" w:ascii="黑体" w:hAnsi="黑体" w:eastAsia="黑体"/>
          <w:color w:val="auto"/>
          <w:sz w:val="30"/>
          <w:szCs w:val="30"/>
        </w:rPr>
        <w:t>二、支出决算情况说明</w:t>
      </w:r>
    </w:p>
    <w:p>
      <w:pPr>
        <w:ind w:firstLine="630"/>
        <w:jc w:val="left"/>
        <w:rPr>
          <w:rFonts w:hint="eastAsia" w:ascii="仿宋" w:hAnsi="仿宋" w:eastAsia="仿宋"/>
          <w:color w:val="auto"/>
          <w:sz w:val="30"/>
          <w:szCs w:val="30"/>
        </w:rPr>
      </w:pPr>
      <w:r>
        <w:rPr>
          <w:rFonts w:hint="eastAsia" w:ascii="仿宋" w:hAnsi="仿宋" w:eastAsia="仿宋"/>
          <w:color w:val="auto"/>
          <w:sz w:val="30"/>
          <w:szCs w:val="30"/>
        </w:rPr>
        <w:t>本部门201</w:t>
      </w:r>
      <w:r>
        <w:rPr>
          <w:rFonts w:hint="eastAsia" w:ascii="仿宋" w:hAnsi="仿宋" w:eastAsia="仿宋"/>
          <w:color w:val="auto"/>
          <w:sz w:val="30"/>
          <w:szCs w:val="30"/>
          <w:lang w:val="en-US" w:eastAsia="zh-CN"/>
        </w:rPr>
        <w:t>9</w:t>
      </w:r>
      <w:r>
        <w:rPr>
          <w:rFonts w:hint="eastAsia" w:ascii="仿宋" w:hAnsi="仿宋" w:eastAsia="仿宋"/>
          <w:color w:val="auto"/>
          <w:sz w:val="30"/>
          <w:szCs w:val="30"/>
        </w:rPr>
        <w:t>年度支出总计</w:t>
      </w:r>
      <w:r>
        <w:rPr>
          <w:rFonts w:hint="eastAsia" w:ascii="仿宋" w:hAnsi="仿宋" w:eastAsia="仿宋"/>
          <w:color w:val="auto"/>
          <w:sz w:val="30"/>
          <w:szCs w:val="30"/>
          <w:lang w:val="en-US" w:eastAsia="zh-CN"/>
        </w:rPr>
        <w:t>223.04</w:t>
      </w:r>
      <w:r>
        <w:rPr>
          <w:rFonts w:hint="eastAsia" w:ascii="仿宋" w:hAnsi="仿宋" w:eastAsia="仿宋"/>
          <w:color w:val="auto"/>
          <w:sz w:val="30"/>
          <w:szCs w:val="30"/>
        </w:rPr>
        <w:t xml:space="preserve">万元，其中本年支出合计 </w:t>
      </w:r>
      <w:r>
        <w:rPr>
          <w:rFonts w:hint="eastAsia" w:ascii="仿宋" w:hAnsi="仿宋" w:eastAsia="仿宋"/>
          <w:color w:val="auto"/>
          <w:sz w:val="30"/>
          <w:szCs w:val="30"/>
          <w:lang w:val="en-US" w:eastAsia="zh-CN"/>
        </w:rPr>
        <w:t>198.10</w:t>
      </w:r>
      <w:r>
        <w:rPr>
          <w:rFonts w:hint="eastAsia" w:ascii="仿宋" w:hAnsi="仿宋" w:eastAsia="仿宋"/>
          <w:color w:val="auto"/>
          <w:sz w:val="30"/>
          <w:szCs w:val="30"/>
        </w:rPr>
        <w:t>万元，较201</w:t>
      </w:r>
      <w:r>
        <w:rPr>
          <w:rFonts w:hint="eastAsia" w:ascii="仿宋" w:hAnsi="仿宋" w:eastAsia="仿宋"/>
          <w:color w:val="auto"/>
          <w:sz w:val="30"/>
          <w:szCs w:val="30"/>
          <w:lang w:val="en-US" w:eastAsia="zh-CN"/>
        </w:rPr>
        <w:t>8</w:t>
      </w:r>
      <w:r>
        <w:rPr>
          <w:rFonts w:hint="eastAsia" w:ascii="仿宋" w:hAnsi="仿宋" w:eastAsia="仿宋"/>
          <w:color w:val="auto"/>
          <w:sz w:val="30"/>
          <w:szCs w:val="30"/>
        </w:rPr>
        <w:t>年减少</w:t>
      </w:r>
      <w:r>
        <w:rPr>
          <w:rFonts w:hint="eastAsia" w:ascii="仿宋" w:hAnsi="仿宋" w:eastAsia="仿宋"/>
          <w:color w:val="auto"/>
          <w:sz w:val="30"/>
          <w:szCs w:val="30"/>
          <w:lang w:val="en-US" w:eastAsia="zh-CN"/>
        </w:rPr>
        <w:t>68.78</w:t>
      </w:r>
      <w:r>
        <w:rPr>
          <w:rFonts w:hint="eastAsia" w:ascii="仿宋" w:hAnsi="仿宋" w:eastAsia="仿宋"/>
          <w:color w:val="auto"/>
          <w:sz w:val="30"/>
          <w:szCs w:val="30"/>
        </w:rPr>
        <w:t>万元，下降</w:t>
      </w:r>
      <w:r>
        <w:rPr>
          <w:rFonts w:hint="eastAsia" w:ascii="仿宋" w:hAnsi="仿宋" w:eastAsia="仿宋"/>
          <w:color w:val="auto"/>
          <w:sz w:val="30"/>
          <w:szCs w:val="30"/>
          <w:lang w:val="en-US" w:eastAsia="zh-CN"/>
        </w:rPr>
        <w:t>25.8</w:t>
      </w:r>
      <w:r>
        <w:rPr>
          <w:rFonts w:hint="eastAsia" w:ascii="仿宋" w:hAnsi="仿宋" w:eastAsia="仿宋"/>
          <w:color w:val="auto"/>
          <w:sz w:val="30"/>
          <w:szCs w:val="30"/>
        </w:rPr>
        <w:t>%，主要原因是：</w:t>
      </w:r>
      <w:r>
        <w:rPr>
          <w:rFonts w:hint="eastAsia" w:ascii="仿宋" w:hAnsi="仿宋" w:eastAsia="仿宋"/>
          <w:color w:val="auto"/>
          <w:sz w:val="30"/>
          <w:szCs w:val="30"/>
          <w:lang w:eastAsia="zh-CN"/>
        </w:rPr>
        <w:t>一般公共服务支出下降</w:t>
      </w:r>
      <w:r>
        <w:rPr>
          <w:rFonts w:hint="eastAsia" w:ascii="仿宋" w:hAnsi="仿宋" w:eastAsia="仿宋"/>
          <w:color w:val="auto"/>
          <w:sz w:val="30"/>
          <w:szCs w:val="30"/>
        </w:rPr>
        <w:t>；年末结转和结余</w:t>
      </w:r>
      <w:r>
        <w:rPr>
          <w:rFonts w:hint="eastAsia" w:ascii="仿宋" w:hAnsi="仿宋" w:eastAsia="仿宋"/>
          <w:color w:val="auto"/>
          <w:sz w:val="30"/>
          <w:szCs w:val="30"/>
          <w:lang w:val="en-US" w:eastAsia="zh-CN"/>
        </w:rPr>
        <w:t>24.94</w:t>
      </w:r>
      <w:r>
        <w:rPr>
          <w:rFonts w:hint="eastAsia" w:ascii="仿宋" w:hAnsi="仿宋" w:eastAsia="仿宋"/>
          <w:color w:val="auto"/>
          <w:sz w:val="30"/>
          <w:szCs w:val="30"/>
        </w:rPr>
        <w:t>万元，较201</w:t>
      </w:r>
      <w:r>
        <w:rPr>
          <w:rFonts w:hint="eastAsia" w:ascii="仿宋" w:hAnsi="仿宋" w:eastAsia="仿宋"/>
          <w:color w:val="auto"/>
          <w:sz w:val="30"/>
          <w:szCs w:val="30"/>
          <w:lang w:val="en-US" w:eastAsia="zh-CN"/>
        </w:rPr>
        <w:t>8</w:t>
      </w:r>
      <w:r>
        <w:rPr>
          <w:rFonts w:hint="eastAsia" w:ascii="仿宋" w:hAnsi="仿宋" w:eastAsia="仿宋"/>
          <w:color w:val="auto"/>
          <w:sz w:val="30"/>
          <w:szCs w:val="30"/>
        </w:rPr>
        <w:t>年减少</w:t>
      </w:r>
      <w:r>
        <w:rPr>
          <w:rFonts w:hint="eastAsia" w:ascii="仿宋" w:hAnsi="仿宋" w:eastAsia="仿宋"/>
          <w:color w:val="auto"/>
          <w:sz w:val="30"/>
          <w:szCs w:val="30"/>
          <w:lang w:val="en-US" w:eastAsia="zh-CN"/>
        </w:rPr>
        <w:t>3.69</w:t>
      </w:r>
      <w:r>
        <w:rPr>
          <w:rFonts w:hint="eastAsia" w:ascii="仿宋" w:hAnsi="仿宋" w:eastAsia="仿宋"/>
          <w:color w:val="auto"/>
          <w:sz w:val="30"/>
          <w:szCs w:val="30"/>
        </w:rPr>
        <w:t>万元，下降</w:t>
      </w:r>
      <w:r>
        <w:rPr>
          <w:rFonts w:hint="eastAsia" w:ascii="仿宋" w:hAnsi="仿宋" w:eastAsia="仿宋"/>
          <w:color w:val="auto"/>
          <w:sz w:val="30"/>
          <w:szCs w:val="30"/>
          <w:lang w:val="en-US" w:eastAsia="zh-CN"/>
        </w:rPr>
        <w:t>12.9</w:t>
      </w:r>
      <w:r>
        <w:rPr>
          <w:rFonts w:hint="eastAsia" w:ascii="仿宋" w:hAnsi="仿宋" w:eastAsia="仿宋"/>
          <w:color w:val="auto"/>
          <w:sz w:val="30"/>
          <w:szCs w:val="30"/>
        </w:rPr>
        <w:t>%，主要原因是：</w:t>
      </w:r>
      <w:r>
        <w:rPr>
          <w:rFonts w:hint="eastAsia" w:ascii="仿宋" w:hAnsi="仿宋" w:eastAsia="仿宋"/>
          <w:color w:val="auto"/>
          <w:sz w:val="30"/>
          <w:szCs w:val="30"/>
          <w:lang w:eastAsia="zh-CN"/>
        </w:rPr>
        <w:t>一般公共服务支出减少</w:t>
      </w:r>
      <w:r>
        <w:rPr>
          <w:rFonts w:hint="eastAsia" w:ascii="仿宋" w:hAnsi="仿宋" w:eastAsia="仿宋"/>
          <w:color w:val="auto"/>
          <w:sz w:val="30"/>
          <w:szCs w:val="30"/>
        </w:rPr>
        <w:t>。</w:t>
      </w:r>
    </w:p>
    <w:p>
      <w:pPr>
        <w:ind w:firstLine="630"/>
        <w:jc w:val="left"/>
        <w:rPr>
          <w:rFonts w:hint="eastAsia" w:ascii="仿宋" w:hAnsi="仿宋" w:eastAsia="仿宋"/>
          <w:color w:val="auto"/>
          <w:sz w:val="30"/>
          <w:szCs w:val="30"/>
        </w:rPr>
      </w:pPr>
      <w:r>
        <w:rPr>
          <w:rFonts w:hint="eastAsia" w:ascii="仿宋" w:hAnsi="仿宋" w:eastAsia="仿宋"/>
          <w:color w:val="auto"/>
          <w:sz w:val="30"/>
          <w:szCs w:val="30"/>
        </w:rPr>
        <w:t>本年支出的具体构成为：基本支出</w:t>
      </w:r>
      <w:r>
        <w:rPr>
          <w:rFonts w:hint="eastAsia" w:ascii="仿宋" w:hAnsi="仿宋" w:eastAsia="仿宋"/>
          <w:color w:val="auto"/>
          <w:sz w:val="30"/>
          <w:szCs w:val="30"/>
          <w:lang w:val="en-US" w:eastAsia="zh-CN"/>
        </w:rPr>
        <w:t>198.10</w:t>
      </w:r>
      <w:r>
        <w:rPr>
          <w:rFonts w:hint="eastAsia" w:ascii="仿宋" w:hAnsi="仿宋" w:eastAsia="仿宋"/>
          <w:color w:val="auto"/>
          <w:sz w:val="30"/>
          <w:szCs w:val="30"/>
        </w:rPr>
        <w:t>万元，占</w:t>
      </w:r>
      <w:r>
        <w:rPr>
          <w:rFonts w:hint="eastAsia" w:ascii="仿宋" w:hAnsi="仿宋" w:eastAsia="仿宋"/>
          <w:color w:val="auto"/>
          <w:sz w:val="30"/>
          <w:szCs w:val="30"/>
          <w:lang w:val="en-US" w:eastAsia="zh-CN"/>
        </w:rPr>
        <w:t>100</w:t>
      </w:r>
      <w:r>
        <w:rPr>
          <w:rFonts w:hint="eastAsia" w:ascii="仿宋" w:hAnsi="仿宋" w:eastAsia="仿宋"/>
          <w:color w:val="auto"/>
          <w:sz w:val="30"/>
          <w:szCs w:val="30"/>
        </w:rPr>
        <w:t>%；项目支出</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万元，占</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 xml:space="preserve"> %；经营支出 </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 xml:space="preserve">万元，占 </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 xml:space="preserve"> %；其他支出（对附属单位补助支出、上缴上级支出）</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 xml:space="preserve"> 万元，占 </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 xml:space="preserve"> %。</w:t>
      </w:r>
    </w:p>
    <w:p>
      <w:pPr>
        <w:ind w:firstLine="630"/>
        <w:jc w:val="left"/>
        <w:rPr>
          <w:rFonts w:hint="eastAsia" w:ascii="黑体" w:hAnsi="黑体" w:eastAsia="黑体"/>
          <w:color w:val="auto"/>
          <w:sz w:val="30"/>
          <w:szCs w:val="30"/>
        </w:rPr>
      </w:pPr>
      <w:r>
        <w:rPr>
          <w:rFonts w:hint="eastAsia" w:ascii="黑体" w:hAnsi="黑体" w:eastAsia="黑体"/>
          <w:color w:val="auto"/>
          <w:sz w:val="30"/>
          <w:szCs w:val="30"/>
        </w:rPr>
        <w:t>三、财政拨款支出决算情况说明</w:t>
      </w:r>
    </w:p>
    <w:p>
      <w:pPr>
        <w:ind w:firstLine="630"/>
        <w:jc w:val="left"/>
        <w:rPr>
          <w:rFonts w:hint="eastAsia" w:ascii="仿宋" w:hAnsi="仿宋" w:eastAsia="仿宋"/>
          <w:color w:val="auto"/>
          <w:sz w:val="30"/>
          <w:szCs w:val="30"/>
        </w:rPr>
      </w:pPr>
      <w:r>
        <w:rPr>
          <w:rFonts w:hint="eastAsia" w:ascii="仿宋" w:hAnsi="仿宋" w:eastAsia="仿宋"/>
          <w:color w:val="auto"/>
          <w:sz w:val="30"/>
          <w:szCs w:val="30"/>
        </w:rPr>
        <w:t>本部门201</w:t>
      </w:r>
      <w:r>
        <w:rPr>
          <w:rFonts w:hint="eastAsia" w:ascii="仿宋" w:hAnsi="仿宋" w:eastAsia="仿宋"/>
          <w:color w:val="auto"/>
          <w:sz w:val="30"/>
          <w:szCs w:val="30"/>
          <w:lang w:val="en-US" w:eastAsia="zh-CN"/>
        </w:rPr>
        <w:t>9</w:t>
      </w:r>
      <w:r>
        <w:rPr>
          <w:rFonts w:hint="eastAsia" w:ascii="仿宋" w:hAnsi="仿宋" w:eastAsia="仿宋"/>
          <w:color w:val="auto"/>
          <w:sz w:val="30"/>
          <w:szCs w:val="30"/>
        </w:rPr>
        <w:t>年度财政拨款本年支出年初预算数为</w:t>
      </w:r>
      <w:r>
        <w:rPr>
          <w:rFonts w:hint="eastAsia" w:ascii="仿宋" w:hAnsi="仿宋" w:eastAsia="仿宋"/>
          <w:color w:val="auto"/>
          <w:sz w:val="30"/>
          <w:szCs w:val="30"/>
          <w:lang w:val="en-US" w:eastAsia="zh-CN"/>
        </w:rPr>
        <w:t>197.67</w:t>
      </w:r>
      <w:r>
        <w:rPr>
          <w:rFonts w:hint="eastAsia" w:ascii="仿宋" w:hAnsi="仿宋" w:eastAsia="仿宋"/>
          <w:color w:val="auto"/>
          <w:sz w:val="30"/>
          <w:szCs w:val="30"/>
        </w:rPr>
        <w:t>万元，决算数为</w:t>
      </w:r>
      <w:r>
        <w:rPr>
          <w:rFonts w:hint="eastAsia" w:ascii="仿宋" w:hAnsi="仿宋" w:eastAsia="仿宋"/>
          <w:color w:val="auto"/>
          <w:sz w:val="30"/>
          <w:szCs w:val="30"/>
          <w:lang w:val="en-US" w:eastAsia="zh-CN"/>
        </w:rPr>
        <w:t>197.67</w:t>
      </w:r>
      <w:r>
        <w:rPr>
          <w:rFonts w:hint="eastAsia" w:ascii="仿宋" w:hAnsi="仿宋" w:eastAsia="仿宋"/>
          <w:color w:val="auto"/>
          <w:sz w:val="30"/>
          <w:szCs w:val="30"/>
        </w:rPr>
        <w:t>万元，完成年初预算的</w:t>
      </w:r>
      <w:r>
        <w:rPr>
          <w:rFonts w:hint="eastAsia" w:ascii="仿宋" w:hAnsi="仿宋" w:eastAsia="仿宋"/>
          <w:color w:val="auto"/>
          <w:sz w:val="30"/>
          <w:szCs w:val="30"/>
          <w:lang w:val="en-US" w:eastAsia="zh-CN"/>
        </w:rPr>
        <w:t>100</w:t>
      </w:r>
      <w:r>
        <w:rPr>
          <w:rFonts w:hint="eastAsia" w:ascii="仿宋" w:hAnsi="仿宋" w:eastAsia="仿宋"/>
          <w:color w:val="auto"/>
          <w:sz w:val="30"/>
          <w:szCs w:val="30"/>
        </w:rPr>
        <w:t>%。其中：</w:t>
      </w:r>
    </w:p>
    <w:p>
      <w:pPr>
        <w:ind w:firstLine="630"/>
        <w:jc w:val="left"/>
        <w:rPr>
          <w:rFonts w:hint="eastAsia" w:ascii="仿宋" w:hAnsi="仿宋" w:eastAsia="仿宋"/>
          <w:color w:val="auto"/>
          <w:sz w:val="30"/>
          <w:szCs w:val="30"/>
        </w:rPr>
      </w:pPr>
      <w:r>
        <w:rPr>
          <w:rFonts w:hint="eastAsia" w:ascii="仿宋" w:hAnsi="仿宋" w:eastAsia="仿宋"/>
          <w:color w:val="auto"/>
          <w:sz w:val="30"/>
          <w:szCs w:val="30"/>
        </w:rPr>
        <w:t>（一）一般公共服务支出年初预算数为</w:t>
      </w:r>
      <w:r>
        <w:rPr>
          <w:rFonts w:hint="eastAsia" w:ascii="仿宋" w:hAnsi="仿宋" w:eastAsia="仿宋"/>
          <w:color w:val="auto"/>
          <w:sz w:val="30"/>
          <w:szCs w:val="30"/>
          <w:lang w:val="en-US" w:eastAsia="zh-CN"/>
        </w:rPr>
        <w:t>178.69</w:t>
      </w:r>
      <w:r>
        <w:rPr>
          <w:rFonts w:hint="eastAsia" w:ascii="仿宋" w:hAnsi="仿宋" w:eastAsia="仿宋"/>
          <w:color w:val="auto"/>
          <w:sz w:val="30"/>
          <w:szCs w:val="30"/>
        </w:rPr>
        <w:t>万元，决算数为</w:t>
      </w:r>
      <w:r>
        <w:rPr>
          <w:rFonts w:hint="eastAsia" w:ascii="仿宋" w:hAnsi="仿宋" w:eastAsia="仿宋"/>
          <w:color w:val="auto"/>
          <w:sz w:val="30"/>
          <w:szCs w:val="30"/>
          <w:lang w:val="en-US" w:eastAsia="zh-CN"/>
        </w:rPr>
        <w:t>178.69</w:t>
      </w:r>
      <w:r>
        <w:rPr>
          <w:rFonts w:hint="eastAsia" w:ascii="仿宋" w:hAnsi="仿宋" w:eastAsia="仿宋"/>
          <w:color w:val="auto"/>
          <w:sz w:val="30"/>
          <w:szCs w:val="30"/>
        </w:rPr>
        <w:t>万元，完成年初预算的</w:t>
      </w:r>
      <w:r>
        <w:rPr>
          <w:rFonts w:hint="eastAsia" w:ascii="仿宋" w:hAnsi="仿宋" w:eastAsia="仿宋"/>
          <w:color w:val="auto"/>
          <w:sz w:val="30"/>
          <w:szCs w:val="30"/>
          <w:lang w:val="en-US" w:eastAsia="zh-CN"/>
        </w:rPr>
        <w:t>100</w:t>
      </w:r>
      <w:r>
        <w:rPr>
          <w:rFonts w:hint="eastAsia" w:ascii="仿宋" w:hAnsi="仿宋" w:eastAsia="仿宋"/>
          <w:color w:val="auto"/>
          <w:sz w:val="30"/>
          <w:szCs w:val="30"/>
        </w:rPr>
        <w:t>%。</w:t>
      </w:r>
    </w:p>
    <w:p>
      <w:pPr>
        <w:ind w:firstLine="630"/>
        <w:jc w:val="left"/>
        <w:rPr>
          <w:rFonts w:hint="eastAsia" w:ascii="仿宋" w:hAnsi="仿宋" w:eastAsia="仿宋"/>
          <w:color w:val="auto"/>
          <w:sz w:val="30"/>
          <w:szCs w:val="30"/>
        </w:rPr>
      </w:pPr>
      <w:r>
        <w:rPr>
          <w:rFonts w:hint="eastAsia" w:ascii="仿宋" w:hAnsi="仿宋" w:eastAsia="仿宋"/>
          <w:color w:val="auto"/>
          <w:sz w:val="30"/>
          <w:szCs w:val="30"/>
        </w:rPr>
        <w:t>（二）公共安全支出年初预算数为</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万元，决算数为</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万元，完成年初预算的</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30"/>
        <w:jc w:val="left"/>
        <w:rPr>
          <w:rFonts w:hint="default" w:ascii="仿宋" w:hAnsi="仿宋" w:eastAsia="仿宋" w:cs="Times New Roman"/>
          <w:color w:val="auto"/>
          <w:kern w:val="2"/>
          <w:sz w:val="30"/>
          <w:szCs w:val="30"/>
          <w:lang w:val="en-US" w:eastAsia="zh-CN" w:bidi="ar-SA"/>
        </w:rPr>
      </w:pPr>
      <w:r>
        <w:rPr>
          <w:rFonts w:hint="eastAsia" w:ascii="仿宋" w:hAnsi="仿宋" w:eastAsia="仿宋" w:cs="Times New Roman"/>
          <w:color w:val="auto"/>
          <w:kern w:val="2"/>
          <w:sz w:val="30"/>
          <w:szCs w:val="30"/>
          <w:lang w:val="en-US" w:eastAsia="zh-CN" w:bidi="ar-SA"/>
        </w:rPr>
        <w:t>（三） 社会保障和就业支出预算数为8.25万元，卫生健康支出5.03万元，均完成年初预算的100%。</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30"/>
        <w:jc w:val="left"/>
        <w:rPr>
          <w:rFonts w:hint="default" w:ascii="仿宋" w:hAnsi="仿宋" w:eastAsia="仿宋" w:cs="Times New Roman"/>
          <w:color w:val="auto"/>
          <w:kern w:val="2"/>
          <w:sz w:val="30"/>
          <w:szCs w:val="30"/>
          <w:lang w:val="en-US" w:eastAsia="zh-CN" w:bidi="ar-SA"/>
        </w:rPr>
      </w:pPr>
      <w:r>
        <w:rPr>
          <w:rFonts w:hint="eastAsia" w:ascii="仿宋" w:hAnsi="仿宋" w:eastAsia="仿宋" w:cs="Times New Roman"/>
          <w:color w:val="auto"/>
          <w:kern w:val="2"/>
          <w:sz w:val="30"/>
          <w:szCs w:val="30"/>
          <w:lang w:val="en-US" w:eastAsia="zh-CN" w:bidi="ar-SA"/>
        </w:rPr>
        <w:t>（四）其他项目支出预算数均为0元，决算数为0元。</w:t>
      </w:r>
    </w:p>
    <w:p>
      <w:pPr>
        <w:ind w:firstLine="585"/>
        <w:jc w:val="left"/>
        <w:rPr>
          <w:rFonts w:hint="eastAsia" w:ascii="黑体" w:hAnsi="黑体" w:eastAsia="黑体"/>
          <w:color w:val="auto"/>
          <w:sz w:val="30"/>
          <w:szCs w:val="30"/>
        </w:rPr>
      </w:pPr>
      <w:r>
        <w:rPr>
          <w:rFonts w:hint="eastAsia" w:ascii="黑体" w:hAnsi="黑体" w:eastAsia="黑体"/>
          <w:color w:val="auto"/>
          <w:sz w:val="30"/>
          <w:szCs w:val="30"/>
        </w:rPr>
        <w:t>四、一般公共预算财政拨款基本支出决算情况说明</w:t>
      </w:r>
    </w:p>
    <w:p>
      <w:pPr>
        <w:ind w:firstLine="585"/>
        <w:jc w:val="left"/>
        <w:rPr>
          <w:rFonts w:hint="eastAsia" w:ascii="仿宋" w:hAnsi="仿宋" w:eastAsia="仿宋"/>
          <w:color w:val="auto"/>
          <w:sz w:val="30"/>
          <w:szCs w:val="30"/>
        </w:rPr>
      </w:pPr>
      <w:r>
        <w:rPr>
          <w:rFonts w:hint="eastAsia" w:ascii="仿宋" w:hAnsi="仿宋" w:eastAsia="仿宋"/>
          <w:color w:val="auto"/>
          <w:sz w:val="30"/>
          <w:szCs w:val="30"/>
        </w:rPr>
        <w:t>本部门201</w:t>
      </w:r>
      <w:r>
        <w:rPr>
          <w:rFonts w:hint="eastAsia" w:ascii="仿宋" w:hAnsi="仿宋" w:eastAsia="仿宋"/>
          <w:color w:val="auto"/>
          <w:sz w:val="30"/>
          <w:szCs w:val="30"/>
          <w:lang w:val="en-US" w:eastAsia="zh-CN"/>
        </w:rPr>
        <w:t>9</w:t>
      </w:r>
      <w:r>
        <w:rPr>
          <w:rFonts w:hint="eastAsia" w:ascii="仿宋" w:hAnsi="仿宋" w:eastAsia="仿宋"/>
          <w:color w:val="auto"/>
          <w:sz w:val="30"/>
          <w:szCs w:val="30"/>
        </w:rPr>
        <w:t>年度一般公共预算财政拨款基本支出</w:t>
      </w:r>
      <w:r>
        <w:rPr>
          <w:rFonts w:hint="eastAsia" w:ascii="仿宋" w:hAnsi="仿宋" w:eastAsia="仿宋"/>
          <w:color w:val="auto"/>
          <w:sz w:val="30"/>
          <w:szCs w:val="30"/>
          <w:lang w:val="en-US" w:eastAsia="zh-CN"/>
        </w:rPr>
        <w:t>197.67</w:t>
      </w:r>
      <w:r>
        <w:rPr>
          <w:rFonts w:hint="eastAsia" w:ascii="仿宋" w:hAnsi="仿宋" w:eastAsia="仿宋"/>
          <w:color w:val="auto"/>
          <w:sz w:val="30"/>
          <w:szCs w:val="30"/>
        </w:rPr>
        <w:t>万元，其中：</w:t>
      </w:r>
    </w:p>
    <w:p>
      <w:pPr>
        <w:ind w:firstLine="585"/>
        <w:jc w:val="left"/>
        <w:rPr>
          <w:rFonts w:hint="eastAsia" w:ascii="仿宋" w:hAnsi="仿宋" w:eastAsia="仿宋"/>
          <w:color w:val="auto"/>
          <w:sz w:val="30"/>
          <w:szCs w:val="30"/>
        </w:rPr>
      </w:pPr>
      <w:r>
        <w:rPr>
          <w:rFonts w:hint="eastAsia" w:ascii="仿宋" w:hAnsi="仿宋" w:eastAsia="仿宋"/>
          <w:color w:val="auto"/>
          <w:sz w:val="30"/>
          <w:szCs w:val="30"/>
        </w:rPr>
        <w:t>（一）工资福利支出</w:t>
      </w:r>
      <w:r>
        <w:rPr>
          <w:rFonts w:hint="eastAsia" w:ascii="仿宋" w:hAnsi="仿宋" w:eastAsia="仿宋"/>
          <w:color w:val="auto"/>
          <w:sz w:val="30"/>
          <w:szCs w:val="30"/>
          <w:lang w:val="en-US" w:eastAsia="zh-CN"/>
        </w:rPr>
        <w:t>139.49</w:t>
      </w:r>
      <w:r>
        <w:rPr>
          <w:rFonts w:hint="eastAsia" w:ascii="仿宋" w:hAnsi="仿宋" w:eastAsia="仿宋"/>
          <w:color w:val="auto"/>
          <w:sz w:val="30"/>
          <w:szCs w:val="30"/>
        </w:rPr>
        <w:t>万元，较201</w:t>
      </w:r>
      <w:r>
        <w:rPr>
          <w:rFonts w:hint="eastAsia" w:ascii="仿宋" w:hAnsi="仿宋" w:eastAsia="仿宋"/>
          <w:color w:val="auto"/>
          <w:sz w:val="30"/>
          <w:szCs w:val="30"/>
          <w:lang w:val="en-US" w:eastAsia="zh-CN"/>
        </w:rPr>
        <w:t>8</w:t>
      </w:r>
      <w:r>
        <w:rPr>
          <w:rFonts w:hint="eastAsia" w:ascii="仿宋" w:hAnsi="仿宋" w:eastAsia="仿宋"/>
          <w:color w:val="auto"/>
          <w:sz w:val="30"/>
          <w:szCs w:val="30"/>
        </w:rPr>
        <w:t>年增加</w:t>
      </w:r>
      <w:r>
        <w:rPr>
          <w:rFonts w:hint="eastAsia" w:ascii="仿宋" w:hAnsi="仿宋" w:eastAsia="仿宋"/>
          <w:color w:val="auto"/>
          <w:sz w:val="30"/>
          <w:szCs w:val="30"/>
          <w:lang w:val="en-US" w:eastAsia="zh-CN"/>
        </w:rPr>
        <w:t>34.84</w:t>
      </w:r>
      <w:r>
        <w:rPr>
          <w:rFonts w:hint="eastAsia" w:ascii="仿宋" w:hAnsi="仿宋" w:eastAsia="仿宋"/>
          <w:color w:val="auto"/>
          <w:sz w:val="30"/>
          <w:szCs w:val="30"/>
        </w:rPr>
        <w:t>万元，增长</w:t>
      </w:r>
      <w:r>
        <w:rPr>
          <w:rFonts w:hint="eastAsia" w:ascii="仿宋" w:hAnsi="仿宋" w:eastAsia="仿宋"/>
          <w:color w:val="auto"/>
          <w:sz w:val="30"/>
          <w:szCs w:val="30"/>
          <w:lang w:val="en-US" w:eastAsia="zh-CN"/>
        </w:rPr>
        <w:t>33.29</w:t>
      </w:r>
      <w:r>
        <w:rPr>
          <w:rFonts w:hint="eastAsia" w:ascii="仿宋" w:hAnsi="仿宋" w:eastAsia="仿宋"/>
          <w:color w:val="auto"/>
          <w:sz w:val="30"/>
          <w:szCs w:val="30"/>
        </w:rPr>
        <w:t xml:space="preserve"> %，主要原因是：</w:t>
      </w:r>
      <w:r>
        <w:rPr>
          <w:rFonts w:hint="eastAsia" w:ascii="仿宋" w:hAnsi="仿宋" w:eastAsia="仿宋"/>
          <w:color w:val="auto"/>
          <w:sz w:val="30"/>
          <w:szCs w:val="30"/>
          <w:lang w:eastAsia="zh-CN"/>
        </w:rPr>
        <w:t>基本工资增加</w:t>
      </w:r>
      <w:r>
        <w:rPr>
          <w:rFonts w:hint="eastAsia" w:ascii="仿宋" w:hAnsi="仿宋" w:eastAsia="仿宋"/>
          <w:color w:val="auto"/>
          <w:sz w:val="30"/>
          <w:szCs w:val="30"/>
        </w:rPr>
        <w:t>。</w:t>
      </w:r>
    </w:p>
    <w:p>
      <w:pPr>
        <w:ind w:firstLine="585"/>
        <w:jc w:val="left"/>
        <w:rPr>
          <w:rFonts w:hint="eastAsia" w:ascii="仿宋" w:hAnsi="仿宋" w:eastAsia="仿宋"/>
          <w:color w:val="auto"/>
          <w:sz w:val="30"/>
          <w:szCs w:val="30"/>
        </w:rPr>
      </w:pPr>
      <w:r>
        <w:rPr>
          <w:rFonts w:hint="eastAsia" w:ascii="仿宋" w:hAnsi="仿宋" w:eastAsia="仿宋"/>
          <w:color w:val="auto"/>
          <w:sz w:val="30"/>
          <w:szCs w:val="30"/>
        </w:rPr>
        <w:t>（二）商品和服务支出</w:t>
      </w:r>
      <w:r>
        <w:rPr>
          <w:rFonts w:hint="eastAsia" w:ascii="仿宋" w:hAnsi="仿宋" w:eastAsia="仿宋"/>
          <w:color w:val="auto"/>
          <w:sz w:val="30"/>
          <w:szCs w:val="30"/>
          <w:lang w:val="en-US" w:eastAsia="zh-CN"/>
        </w:rPr>
        <w:t>58.06</w:t>
      </w:r>
      <w:r>
        <w:rPr>
          <w:rFonts w:hint="eastAsia" w:ascii="仿宋" w:hAnsi="仿宋" w:eastAsia="仿宋"/>
          <w:color w:val="auto"/>
          <w:sz w:val="30"/>
          <w:szCs w:val="30"/>
        </w:rPr>
        <w:t>万元，较201</w:t>
      </w:r>
      <w:r>
        <w:rPr>
          <w:rFonts w:hint="eastAsia" w:ascii="仿宋" w:hAnsi="仿宋" w:eastAsia="仿宋"/>
          <w:color w:val="auto"/>
          <w:sz w:val="30"/>
          <w:szCs w:val="30"/>
          <w:lang w:val="en-US" w:eastAsia="zh-CN"/>
        </w:rPr>
        <w:t>8</w:t>
      </w:r>
      <w:r>
        <w:rPr>
          <w:rFonts w:hint="eastAsia" w:ascii="仿宋" w:hAnsi="仿宋" w:eastAsia="仿宋"/>
          <w:color w:val="auto"/>
          <w:sz w:val="30"/>
          <w:szCs w:val="30"/>
        </w:rPr>
        <w:t xml:space="preserve">年减少  </w:t>
      </w:r>
      <w:r>
        <w:rPr>
          <w:rFonts w:hint="eastAsia" w:ascii="仿宋" w:hAnsi="仿宋" w:eastAsia="仿宋"/>
          <w:color w:val="auto"/>
          <w:sz w:val="30"/>
          <w:szCs w:val="30"/>
          <w:lang w:val="en-US" w:eastAsia="zh-CN"/>
        </w:rPr>
        <w:t>25.29</w:t>
      </w:r>
      <w:r>
        <w:rPr>
          <w:rFonts w:hint="eastAsia" w:ascii="仿宋" w:hAnsi="仿宋" w:eastAsia="仿宋"/>
          <w:color w:val="auto"/>
          <w:sz w:val="30"/>
          <w:szCs w:val="30"/>
        </w:rPr>
        <w:t>万元，下降</w:t>
      </w:r>
      <w:r>
        <w:rPr>
          <w:rFonts w:hint="eastAsia" w:ascii="仿宋" w:hAnsi="仿宋" w:eastAsia="仿宋"/>
          <w:color w:val="auto"/>
          <w:sz w:val="30"/>
          <w:szCs w:val="30"/>
          <w:lang w:val="en-US" w:eastAsia="zh-CN"/>
        </w:rPr>
        <w:t>30.5</w:t>
      </w:r>
      <w:r>
        <w:rPr>
          <w:rFonts w:hint="eastAsia" w:ascii="仿宋" w:hAnsi="仿宋" w:eastAsia="仿宋"/>
          <w:color w:val="auto"/>
          <w:sz w:val="30"/>
          <w:szCs w:val="30"/>
        </w:rPr>
        <w:t xml:space="preserve"> %，主要原因是：</w:t>
      </w:r>
      <w:r>
        <w:rPr>
          <w:rFonts w:hint="eastAsia" w:ascii="仿宋" w:hAnsi="仿宋" w:eastAsia="仿宋"/>
          <w:color w:val="auto"/>
          <w:sz w:val="30"/>
          <w:szCs w:val="30"/>
          <w:lang w:eastAsia="zh-CN"/>
        </w:rPr>
        <w:t>福利和其他商品支出减少</w:t>
      </w:r>
      <w:r>
        <w:rPr>
          <w:rFonts w:hint="eastAsia" w:ascii="仿宋" w:hAnsi="仿宋" w:eastAsia="仿宋"/>
          <w:color w:val="auto"/>
          <w:sz w:val="30"/>
          <w:szCs w:val="30"/>
        </w:rPr>
        <w:t>。</w:t>
      </w:r>
    </w:p>
    <w:p>
      <w:pPr>
        <w:ind w:firstLine="585"/>
        <w:jc w:val="left"/>
        <w:rPr>
          <w:rFonts w:hint="eastAsia" w:ascii="仿宋" w:hAnsi="仿宋" w:eastAsia="仿宋"/>
          <w:color w:val="auto"/>
          <w:sz w:val="30"/>
          <w:szCs w:val="30"/>
        </w:rPr>
      </w:pPr>
      <w:r>
        <w:rPr>
          <w:rFonts w:hint="eastAsia" w:ascii="仿宋" w:hAnsi="仿宋" w:eastAsia="仿宋"/>
          <w:color w:val="auto"/>
          <w:sz w:val="30"/>
          <w:szCs w:val="30"/>
        </w:rPr>
        <w:t>（三）对个人和家庭补助支出</w:t>
      </w:r>
      <w:r>
        <w:rPr>
          <w:rFonts w:hint="eastAsia" w:ascii="仿宋" w:hAnsi="仿宋" w:eastAsia="仿宋"/>
          <w:color w:val="auto"/>
          <w:sz w:val="30"/>
          <w:szCs w:val="30"/>
          <w:lang w:val="en-US" w:eastAsia="zh-CN"/>
        </w:rPr>
        <w:t>0.12</w:t>
      </w:r>
      <w:r>
        <w:rPr>
          <w:rFonts w:hint="eastAsia" w:ascii="仿宋" w:hAnsi="仿宋" w:eastAsia="仿宋"/>
          <w:color w:val="auto"/>
          <w:sz w:val="30"/>
          <w:szCs w:val="30"/>
        </w:rPr>
        <w:t>万元，较201</w:t>
      </w:r>
      <w:r>
        <w:rPr>
          <w:rFonts w:hint="eastAsia" w:ascii="仿宋" w:hAnsi="仿宋" w:eastAsia="仿宋"/>
          <w:color w:val="auto"/>
          <w:sz w:val="30"/>
          <w:szCs w:val="30"/>
          <w:lang w:val="en-US" w:eastAsia="zh-CN"/>
        </w:rPr>
        <w:t>8</w:t>
      </w:r>
      <w:r>
        <w:rPr>
          <w:rFonts w:hint="eastAsia" w:ascii="仿宋" w:hAnsi="仿宋" w:eastAsia="仿宋"/>
          <w:color w:val="auto"/>
          <w:sz w:val="30"/>
          <w:szCs w:val="30"/>
        </w:rPr>
        <w:t>年</w:t>
      </w:r>
      <w:r>
        <w:rPr>
          <w:rFonts w:hint="eastAsia" w:ascii="仿宋" w:hAnsi="仿宋" w:eastAsia="仿宋"/>
          <w:color w:val="auto"/>
          <w:sz w:val="30"/>
          <w:szCs w:val="30"/>
          <w:lang w:eastAsia="zh-CN"/>
        </w:rPr>
        <w:t>减少</w:t>
      </w:r>
      <w:r>
        <w:rPr>
          <w:rFonts w:hint="eastAsia" w:ascii="仿宋" w:hAnsi="仿宋" w:eastAsia="仿宋"/>
          <w:color w:val="auto"/>
          <w:sz w:val="30"/>
          <w:szCs w:val="30"/>
          <w:lang w:val="en-US" w:eastAsia="zh-CN"/>
        </w:rPr>
        <w:t>42.73</w:t>
      </w:r>
      <w:r>
        <w:rPr>
          <w:rFonts w:hint="eastAsia" w:ascii="仿宋" w:hAnsi="仿宋" w:eastAsia="仿宋"/>
          <w:color w:val="auto"/>
          <w:sz w:val="30"/>
          <w:szCs w:val="30"/>
        </w:rPr>
        <w:t>万元，</w:t>
      </w:r>
      <w:r>
        <w:rPr>
          <w:rFonts w:hint="eastAsia" w:ascii="仿宋" w:hAnsi="仿宋" w:eastAsia="仿宋"/>
          <w:color w:val="auto"/>
          <w:sz w:val="30"/>
          <w:szCs w:val="30"/>
          <w:lang w:eastAsia="zh-CN"/>
        </w:rPr>
        <w:t>下降</w:t>
      </w:r>
      <w:r>
        <w:rPr>
          <w:rFonts w:hint="eastAsia" w:ascii="仿宋" w:hAnsi="仿宋" w:eastAsia="仿宋"/>
          <w:color w:val="auto"/>
          <w:sz w:val="30"/>
          <w:szCs w:val="30"/>
          <w:lang w:val="en-US" w:eastAsia="zh-CN"/>
        </w:rPr>
        <w:t>99.72%，</w:t>
      </w:r>
      <w:r>
        <w:rPr>
          <w:rFonts w:hint="eastAsia" w:ascii="仿宋" w:hAnsi="仿宋" w:eastAsia="仿宋"/>
          <w:color w:val="auto"/>
          <w:sz w:val="30"/>
          <w:szCs w:val="30"/>
        </w:rPr>
        <w:t>主要原因是：</w:t>
      </w:r>
      <w:r>
        <w:rPr>
          <w:rFonts w:hint="eastAsia" w:ascii="仿宋" w:hAnsi="仿宋" w:eastAsia="仿宋"/>
          <w:color w:val="auto"/>
          <w:sz w:val="30"/>
          <w:szCs w:val="30"/>
          <w:lang w:eastAsia="zh-CN"/>
        </w:rPr>
        <w:t>奖助金大幅减少</w:t>
      </w:r>
      <w:r>
        <w:rPr>
          <w:rFonts w:hint="eastAsia" w:ascii="仿宋" w:hAnsi="仿宋" w:eastAsia="仿宋"/>
          <w:color w:val="auto"/>
          <w:sz w:val="30"/>
          <w:szCs w:val="30"/>
        </w:rPr>
        <w:t>。</w:t>
      </w:r>
    </w:p>
    <w:p>
      <w:pPr>
        <w:ind w:firstLine="585"/>
        <w:jc w:val="left"/>
        <w:rPr>
          <w:rFonts w:hint="eastAsia" w:ascii="仿宋" w:hAnsi="仿宋" w:eastAsia="仿宋"/>
          <w:color w:val="auto"/>
          <w:sz w:val="30"/>
          <w:szCs w:val="30"/>
        </w:rPr>
      </w:pPr>
      <w:r>
        <w:rPr>
          <w:rFonts w:hint="eastAsia" w:ascii="仿宋" w:hAnsi="仿宋" w:eastAsia="仿宋"/>
          <w:color w:val="auto"/>
          <w:sz w:val="30"/>
          <w:szCs w:val="30"/>
        </w:rPr>
        <w:t>（四）资本性支出</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万元，201</w:t>
      </w:r>
      <w:r>
        <w:rPr>
          <w:rFonts w:hint="eastAsia" w:ascii="仿宋" w:hAnsi="仿宋" w:eastAsia="仿宋"/>
          <w:color w:val="auto"/>
          <w:sz w:val="30"/>
          <w:szCs w:val="30"/>
          <w:lang w:val="en-US" w:eastAsia="zh-CN"/>
        </w:rPr>
        <w:t>8</w:t>
      </w:r>
      <w:r>
        <w:rPr>
          <w:rFonts w:hint="eastAsia" w:ascii="仿宋" w:hAnsi="仿宋" w:eastAsia="仿宋"/>
          <w:color w:val="auto"/>
          <w:sz w:val="30"/>
          <w:szCs w:val="30"/>
        </w:rPr>
        <w:t>年</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万</w:t>
      </w:r>
      <w:r>
        <w:rPr>
          <w:rFonts w:hint="eastAsia" w:ascii="仿宋" w:hAnsi="仿宋" w:eastAsia="仿宋"/>
          <w:color w:val="auto"/>
          <w:sz w:val="30"/>
          <w:szCs w:val="30"/>
          <w:lang w:eastAsia="zh-CN"/>
        </w:rPr>
        <w:t>元</w:t>
      </w:r>
      <w:r>
        <w:rPr>
          <w:rFonts w:hint="eastAsia" w:ascii="仿宋" w:hAnsi="仿宋" w:eastAsia="仿宋"/>
          <w:color w:val="auto"/>
          <w:sz w:val="30"/>
          <w:szCs w:val="30"/>
        </w:rPr>
        <w:t>。</w:t>
      </w:r>
    </w:p>
    <w:p>
      <w:pPr>
        <w:ind w:firstLine="630"/>
        <w:jc w:val="left"/>
        <w:rPr>
          <w:rFonts w:hint="eastAsia" w:ascii="黑体" w:hAnsi="黑体" w:eastAsia="黑体"/>
          <w:color w:val="auto"/>
          <w:sz w:val="30"/>
          <w:szCs w:val="30"/>
        </w:rPr>
      </w:pPr>
      <w:r>
        <w:rPr>
          <w:rFonts w:hint="eastAsia" w:ascii="黑体" w:hAnsi="黑体" w:eastAsia="黑体"/>
          <w:color w:val="auto"/>
          <w:sz w:val="30"/>
          <w:szCs w:val="30"/>
        </w:rPr>
        <w:t>五、一般公共预算财政拨款“三公”经费支出决算情况说明</w:t>
      </w:r>
    </w:p>
    <w:p>
      <w:pPr>
        <w:ind w:firstLine="630"/>
        <w:jc w:val="left"/>
        <w:rPr>
          <w:rFonts w:hint="eastAsia" w:ascii="仿宋" w:hAnsi="仿宋" w:eastAsia="仿宋"/>
          <w:color w:val="auto"/>
          <w:sz w:val="30"/>
          <w:szCs w:val="30"/>
        </w:rPr>
      </w:pPr>
      <w:r>
        <w:rPr>
          <w:rFonts w:hint="eastAsia" w:ascii="仿宋" w:hAnsi="仿宋" w:eastAsia="仿宋"/>
          <w:color w:val="auto"/>
          <w:sz w:val="30"/>
          <w:szCs w:val="30"/>
        </w:rPr>
        <w:t>本部门201</w:t>
      </w:r>
      <w:r>
        <w:rPr>
          <w:rFonts w:hint="eastAsia" w:ascii="仿宋" w:hAnsi="仿宋" w:eastAsia="仿宋"/>
          <w:color w:val="auto"/>
          <w:sz w:val="30"/>
          <w:szCs w:val="30"/>
          <w:lang w:val="en-US" w:eastAsia="zh-CN"/>
        </w:rPr>
        <w:t>9</w:t>
      </w:r>
      <w:r>
        <w:rPr>
          <w:rFonts w:hint="eastAsia" w:ascii="仿宋" w:hAnsi="仿宋" w:eastAsia="仿宋"/>
          <w:color w:val="auto"/>
          <w:sz w:val="30"/>
          <w:szCs w:val="30"/>
        </w:rPr>
        <w:t>年度一般公共预算财政拨款“三公”经费支出年初预算数为</w:t>
      </w:r>
      <w:r>
        <w:rPr>
          <w:rFonts w:hint="eastAsia" w:ascii="仿宋" w:hAnsi="仿宋" w:eastAsia="仿宋"/>
          <w:color w:val="auto"/>
          <w:sz w:val="30"/>
          <w:szCs w:val="30"/>
          <w:lang w:val="en-US" w:eastAsia="zh-CN"/>
        </w:rPr>
        <w:t>5</w:t>
      </w:r>
      <w:r>
        <w:rPr>
          <w:rFonts w:hint="eastAsia" w:ascii="仿宋" w:hAnsi="仿宋" w:eastAsia="仿宋"/>
          <w:color w:val="auto"/>
          <w:sz w:val="30"/>
          <w:szCs w:val="30"/>
        </w:rPr>
        <w:t>万元，决算数为</w:t>
      </w:r>
      <w:r>
        <w:rPr>
          <w:rFonts w:hint="eastAsia" w:ascii="仿宋" w:hAnsi="仿宋" w:eastAsia="仿宋"/>
          <w:color w:val="auto"/>
          <w:sz w:val="30"/>
          <w:szCs w:val="30"/>
          <w:lang w:val="en-US" w:eastAsia="zh-CN"/>
        </w:rPr>
        <w:t>3.39</w:t>
      </w:r>
      <w:r>
        <w:rPr>
          <w:rFonts w:hint="eastAsia" w:ascii="仿宋" w:hAnsi="仿宋" w:eastAsia="仿宋"/>
          <w:color w:val="auto"/>
          <w:sz w:val="30"/>
          <w:szCs w:val="30"/>
        </w:rPr>
        <w:t>万元，完成</w:t>
      </w:r>
      <w:r>
        <w:rPr>
          <w:rFonts w:hint="eastAsia" w:ascii="仿宋" w:hAnsi="仿宋" w:eastAsia="仿宋"/>
          <w:color w:val="auto"/>
          <w:sz w:val="30"/>
          <w:szCs w:val="30"/>
          <w:lang w:val="en-US" w:eastAsia="zh-CN"/>
        </w:rPr>
        <w:t>年初</w:t>
      </w:r>
      <w:r>
        <w:rPr>
          <w:rFonts w:hint="eastAsia" w:ascii="仿宋" w:hAnsi="仿宋" w:eastAsia="仿宋"/>
          <w:color w:val="auto"/>
          <w:sz w:val="30"/>
          <w:szCs w:val="30"/>
        </w:rPr>
        <w:t>预算的</w:t>
      </w:r>
      <w:r>
        <w:rPr>
          <w:rFonts w:hint="eastAsia" w:ascii="仿宋" w:hAnsi="仿宋" w:eastAsia="仿宋"/>
          <w:color w:val="auto"/>
          <w:sz w:val="30"/>
          <w:szCs w:val="30"/>
          <w:lang w:val="en-US" w:eastAsia="zh-CN"/>
        </w:rPr>
        <w:t>67.8</w:t>
      </w:r>
      <w:r>
        <w:rPr>
          <w:rFonts w:hint="eastAsia" w:ascii="仿宋" w:hAnsi="仿宋" w:eastAsia="仿宋"/>
          <w:color w:val="auto"/>
          <w:sz w:val="30"/>
          <w:szCs w:val="30"/>
        </w:rPr>
        <w:t>%，决算数较201</w:t>
      </w:r>
      <w:r>
        <w:rPr>
          <w:rFonts w:hint="eastAsia" w:ascii="仿宋" w:hAnsi="仿宋" w:eastAsia="仿宋"/>
          <w:color w:val="auto"/>
          <w:sz w:val="30"/>
          <w:szCs w:val="30"/>
          <w:lang w:val="en-US" w:eastAsia="zh-CN"/>
        </w:rPr>
        <w:t>8</w:t>
      </w:r>
      <w:r>
        <w:rPr>
          <w:rFonts w:hint="eastAsia" w:ascii="仿宋" w:hAnsi="仿宋" w:eastAsia="仿宋"/>
          <w:color w:val="auto"/>
          <w:sz w:val="30"/>
          <w:szCs w:val="30"/>
        </w:rPr>
        <w:t>年</w:t>
      </w:r>
      <w:r>
        <w:rPr>
          <w:rFonts w:hint="eastAsia" w:ascii="仿宋" w:hAnsi="仿宋" w:eastAsia="仿宋"/>
          <w:color w:val="auto"/>
          <w:sz w:val="30"/>
          <w:szCs w:val="30"/>
          <w:lang w:eastAsia="zh-CN"/>
        </w:rPr>
        <w:t>下降</w:t>
      </w:r>
      <w:r>
        <w:rPr>
          <w:rFonts w:hint="eastAsia" w:ascii="仿宋" w:hAnsi="仿宋" w:eastAsia="仿宋"/>
          <w:color w:val="auto"/>
          <w:sz w:val="30"/>
          <w:szCs w:val="30"/>
          <w:lang w:val="en-US" w:eastAsia="zh-CN"/>
        </w:rPr>
        <w:t>0.13</w:t>
      </w:r>
      <w:r>
        <w:rPr>
          <w:rFonts w:hint="eastAsia" w:ascii="仿宋" w:hAnsi="仿宋" w:eastAsia="仿宋"/>
          <w:color w:val="auto"/>
          <w:sz w:val="30"/>
          <w:szCs w:val="30"/>
        </w:rPr>
        <w:t>万元，下降</w:t>
      </w:r>
      <w:r>
        <w:rPr>
          <w:rFonts w:hint="eastAsia" w:ascii="仿宋" w:hAnsi="仿宋" w:eastAsia="仿宋"/>
          <w:color w:val="auto"/>
          <w:sz w:val="30"/>
          <w:szCs w:val="30"/>
          <w:lang w:val="en-US" w:eastAsia="zh-CN"/>
        </w:rPr>
        <w:t>3.7</w:t>
      </w:r>
      <w:r>
        <w:rPr>
          <w:rFonts w:hint="eastAsia" w:ascii="仿宋" w:hAnsi="仿宋" w:eastAsia="仿宋"/>
          <w:color w:val="auto"/>
          <w:sz w:val="30"/>
          <w:szCs w:val="30"/>
        </w:rPr>
        <w:t>%，其中：</w:t>
      </w:r>
    </w:p>
    <w:p>
      <w:pPr>
        <w:ind w:firstLine="630"/>
        <w:jc w:val="left"/>
        <w:rPr>
          <w:rFonts w:hint="eastAsia" w:ascii="仿宋" w:hAnsi="仿宋" w:eastAsia="仿宋"/>
          <w:color w:val="auto"/>
          <w:sz w:val="30"/>
          <w:szCs w:val="30"/>
        </w:rPr>
      </w:pPr>
      <w:r>
        <w:rPr>
          <w:rFonts w:hint="eastAsia" w:ascii="仿宋" w:hAnsi="仿宋" w:eastAsia="仿宋"/>
          <w:color w:val="auto"/>
          <w:sz w:val="30"/>
          <w:szCs w:val="30"/>
        </w:rPr>
        <w:t xml:space="preserve">（一）因公出国（境）支出年初预算数为 </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 xml:space="preserve"> 万元，决算数为 </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 xml:space="preserve"> 万元，决算数较201</w:t>
      </w:r>
      <w:r>
        <w:rPr>
          <w:rFonts w:hint="eastAsia" w:ascii="仿宋" w:hAnsi="仿宋" w:eastAsia="仿宋"/>
          <w:color w:val="auto"/>
          <w:sz w:val="30"/>
          <w:szCs w:val="30"/>
          <w:lang w:val="en-US" w:eastAsia="zh-CN"/>
        </w:rPr>
        <w:t>8</w:t>
      </w:r>
      <w:r>
        <w:rPr>
          <w:rFonts w:hint="eastAsia" w:ascii="仿宋" w:hAnsi="仿宋" w:eastAsia="仿宋"/>
          <w:color w:val="auto"/>
          <w:sz w:val="30"/>
          <w:szCs w:val="30"/>
        </w:rPr>
        <w:t>年</w:t>
      </w:r>
      <w:r>
        <w:rPr>
          <w:rFonts w:hint="eastAsia" w:ascii="仿宋" w:hAnsi="仿宋" w:eastAsia="仿宋"/>
          <w:color w:val="auto"/>
          <w:sz w:val="30"/>
          <w:szCs w:val="30"/>
          <w:lang w:eastAsia="zh-CN"/>
        </w:rPr>
        <w:t>增加</w:t>
      </w:r>
      <w:r>
        <w:rPr>
          <w:rFonts w:hint="eastAsia" w:ascii="仿宋" w:hAnsi="仿宋" w:eastAsia="仿宋"/>
          <w:color w:val="auto"/>
          <w:sz w:val="30"/>
          <w:szCs w:val="30"/>
          <w:lang w:val="en-US" w:eastAsia="zh-CN"/>
        </w:rPr>
        <w:t>0万元</w:t>
      </w:r>
      <w:r>
        <w:rPr>
          <w:rFonts w:hint="eastAsia" w:ascii="仿宋" w:hAnsi="仿宋" w:eastAsia="仿宋"/>
          <w:color w:val="auto"/>
          <w:sz w:val="30"/>
          <w:szCs w:val="30"/>
        </w:rPr>
        <w:t>。</w:t>
      </w:r>
    </w:p>
    <w:p>
      <w:pPr>
        <w:ind w:firstLine="630"/>
        <w:jc w:val="left"/>
        <w:rPr>
          <w:rFonts w:hint="eastAsia" w:ascii="仿宋" w:hAnsi="仿宋" w:eastAsia="仿宋"/>
          <w:color w:val="auto"/>
          <w:sz w:val="30"/>
          <w:szCs w:val="30"/>
        </w:rPr>
      </w:pPr>
      <w:r>
        <w:rPr>
          <w:rFonts w:hint="eastAsia" w:ascii="仿宋" w:hAnsi="仿宋" w:eastAsia="仿宋"/>
          <w:color w:val="auto"/>
          <w:sz w:val="30"/>
          <w:szCs w:val="30"/>
        </w:rPr>
        <w:t xml:space="preserve">（二）公务接待费支出年初预算数为  </w:t>
      </w:r>
      <w:r>
        <w:rPr>
          <w:rFonts w:hint="eastAsia" w:ascii="仿宋" w:hAnsi="仿宋" w:eastAsia="仿宋"/>
          <w:color w:val="auto"/>
          <w:sz w:val="30"/>
          <w:szCs w:val="30"/>
          <w:lang w:val="en-US" w:eastAsia="zh-CN"/>
        </w:rPr>
        <w:t>5</w:t>
      </w:r>
      <w:r>
        <w:rPr>
          <w:rFonts w:hint="eastAsia" w:ascii="仿宋" w:hAnsi="仿宋" w:eastAsia="仿宋"/>
          <w:color w:val="auto"/>
          <w:sz w:val="30"/>
          <w:szCs w:val="30"/>
        </w:rPr>
        <w:t xml:space="preserve"> 万元，决算数为 </w:t>
      </w:r>
      <w:r>
        <w:rPr>
          <w:rFonts w:hint="eastAsia" w:ascii="仿宋" w:hAnsi="仿宋" w:eastAsia="仿宋"/>
          <w:color w:val="auto"/>
          <w:sz w:val="30"/>
          <w:szCs w:val="30"/>
          <w:lang w:val="en-US" w:eastAsia="zh-CN"/>
        </w:rPr>
        <w:t>3.39</w:t>
      </w:r>
      <w:r>
        <w:rPr>
          <w:rFonts w:hint="eastAsia" w:ascii="仿宋" w:hAnsi="仿宋" w:eastAsia="仿宋"/>
          <w:color w:val="auto"/>
          <w:sz w:val="30"/>
          <w:szCs w:val="30"/>
        </w:rPr>
        <w:t xml:space="preserve"> 万元，完成</w:t>
      </w:r>
      <w:r>
        <w:rPr>
          <w:rFonts w:hint="eastAsia" w:ascii="仿宋" w:hAnsi="仿宋" w:eastAsia="仿宋"/>
          <w:color w:val="auto"/>
          <w:sz w:val="30"/>
          <w:szCs w:val="30"/>
          <w:lang w:val="en-US" w:eastAsia="zh-CN"/>
        </w:rPr>
        <w:t>年初</w:t>
      </w:r>
      <w:r>
        <w:rPr>
          <w:rFonts w:hint="eastAsia" w:ascii="仿宋" w:hAnsi="仿宋" w:eastAsia="仿宋"/>
          <w:color w:val="auto"/>
          <w:sz w:val="30"/>
          <w:szCs w:val="30"/>
        </w:rPr>
        <w:t>预算的</w:t>
      </w:r>
      <w:r>
        <w:rPr>
          <w:rFonts w:hint="eastAsia" w:ascii="仿宋" w:hAnsi="仿宋" w:eastAsia="仿宋"/>
          <w:color w:val="auto"/>
          <w:sz w:val="30"/>
          <w:szCs w:val="30"/>
          <w:lang w:val="en-US" w:eastAsia="zh-CN"/>
        </w:rPr>
        <w:t>67.8</w:t>
      </w:r>
      <w:r>
        <w:rPr>
          <w:rFonts w:hint="eastAsia" w:ascii="仿宋" w:hAnsi="仿宋" w:eastAsia="仿宋"/>
          <w:color w:val="auto"/>
          <w:sz w:val="30"/>
          <w:szCs w:val="30"/>
        </w:rPr>
        <w:t xml:space="preserve"> %，决算数较201</w:t>
      </w:r>
      <w:r>
        <w:rPr>
          <w:rFonts w:hint="eastAsia" w:ascii="仿宋" w:hAnsi="仿宋" w:eastAsia="仿宋"/>
          <w:color w:val="auto"/>
          <w:sz w:val="30"/>
          <w:szCs w:val="30"/>
          <w:lang w:val="en-US" w:eastAsia="zh-CN"/>
        </w:rPr>
        <w:t>8</w:t>
      </w:r>
      <w:r>
        <w:rPr>
          <w:rFonts w:hint="eastAsia" w:ascii="仿宋" w:hAnsi="仿宋" w:eastAsia="仿宋"/>
          <w:color w:val="auto"/>
          <w:sz w:val="30"/>
          <w:szCs w:val="30"/>
        </w:rPr>
        <w:t>年减少</w:t>
      </w:r>
      <w:r>
        <w:rPr>
          <w:rFonts w:hint="eastAsia" w:ascii="仿宋" w:hAnsi="仿宋" w:eastAsia="仿宋"/>
          <w:color w:val="auto"/>
          <w:sz w:val="30"/>
          <w:szCs w:val="30"/>
          <w:lang w:val="en-US" w:eastAsia="zh-CN"/>
        </w:rPr>
        <w:t>0.13</w:t>
      </w:r>
      <w:r>
        <w:rPr>
          <w:rFonts w:hint="eastAsia" w:ascii="仿宋" w:hAnsi="仿宋" w:eastAsia="仿宋"/>
          <w:color w:val="auto"/>
          <w:sz w:val="30"/>
          <w:szCs w:val="30"/>
        </w:rPr>
        <w:t>万元，下降</w:t>
      </w:r>
      <w:r>
        <w:rPr>
          <w:rFonts w:hint="eastAsia" w:ascii="仿宋" w:hAnsi="仿宋" w:eastAsia="仿宋"/>
          <w:color w:val="auto"/>
          <w:sz w:val="30"/>
          <w:szCs w:val="30"/>
          <w:lang w:val="en-US" w:eastAsia="zh-CN"/>
        </w:rPr>
        <w:t>3.7</w:t>
      </w:r>
      <w:r>
        <w:rPr>
          <w:rFonts w:hint="eastAsia" w:ascii="仿宋" w:hAnsi="仿宋" w:eastAsia="仿宋"/>
          <w:color w:val="auto"/>
          <w:sz w:val="30"/>
          <w:szCs w:val="30"/>
        </w:rPr>
        <w:t xml:space="preserve"> %。</w:t>
      </w:r>
    </w:p>
    <w:p>
      <w:pPr>
        <w:ind w:firstLine="630"/>
        <w:jc w:val="left"/>
        <w:rPr>
          <w:rFonts w:hint="eastAsia" w:ascii="仿宋" w:hAnsi="仿宋" w:eastAsia="仿宋"/>
          <w:color w:val="auto"/>
          <w:sz w:val="30"/>
          <w:szCs w:val="30"/>
        </w:rPr>
      </w:pPr>
      <w:r>
        <w:rPr>
          <w:rFonts w:hint="eastAsia" w:ascii="仿宋" w:hAnsi="仿宋" w:eastAsia="仿宋"/>
          <w:color w:val="auto"/>
          <w:sz w:val="30"/>
          <w:szCs w:val="30"/>
        </w:rPr>
        <w:t xml:space="preserve">（三）公务用车购置及运行维护费支出  </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 xml:space="preserve"> 万元，其中公务用车购置年初预算数为   </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万元，决算数为</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 xml:space="preserve">  万元，完成</w:t>
      </w:r>
      <w:r>
        <w:rPr>
          <w:rFonts w:hint="eastAsia" w:ascii="仿宋" w:hAnsi="仿宋" w:eastAsia="仿宋"/>
          <w:color w:val="auto"/>
          <w:sz w:val="30"/>
          <w:szCs w:val="30"/>
          <w:lang w:val="en-US" w:eastAsia="zh-CN"/>
        </w:rPr>
        <w:t>年初</w:t>
      </w:r>
      <w:r>
        <w:rPr>
          <w:rFonts w:hint="eastAsia" w:ascii="仿宋" w:hAnsi="仿宋" w:eastAsia="仿宋"/>
          <w:color w:val="auto"/>
          <w:sz w:val="30"/>
          <w:szCs w:val="30"/>
        </w:rPr>
        <w:t>预算的 %，决算数较201</w:t>
      </w:r>
      <w:r>
        <w:rPr>
          <w:rFonts w:hint="eastAsia" w:ascii="仿宋" w:hAnsi="仿宋" w:eastAsia="仿宋"/>
          <w:color w:val="auto"/>
          <w:sz w:val="30"/>
          <w:szCs w:val="30"/>
          <w:lang w:val="en-US" w:eastAsia="zh-CN"/>
        </w:rPr>
        <w:t>8</w:t>
      </w:r>
      <w:r>
        <w:rPr>
          <w:rFonts w:hint="eastAsia" w:ascii="仿宋" w:hAnsi="仿宋" w:eastAsia="仿宋"/>
          <w:color w:val="auto"/>
          <w:sz w:val="30"/>
          <w:szCs w:val="30"/>
        </w:rPr>
        <w:t xml:space="preserve">年增加 </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 xml:space="preserve"> 万元。公务用车运行维护费支出年初预算数为</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 xml:space="preserve">  万元，决算数为 </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 xml:space="preserve"> 万元，完成</w:t>
      </w:r>
      <w:r>
        <w:rPr>
          <w:rFonts w:hint="eastAsia" w:ascii="仿宋" w:hAnsi="仿宋" w:eastAsia="仿宋"/>
          <w:color w:val="auto"/>
          <w:sz w:val="30"/>
          <w:szCs w:val="30"/>
          <w:lang w:val="en-US" w:eastAsia="zh-CN"/>
        </w:rPr>
        <w:t>年初</w:t>
      </w:r>
      <w:r>
        <w:rPr>
          <w:rFonts w:hint="eastAsia" w:ascii="仿宋" w:hAnsi="仿宋" w:eastAsia="仿宋"/>
          <w:color w:val="auto"/>
          <w:sz w:val="30"/>
          <w:szCs w:val="30"/>
        </w:rPr>
        <w:t>预算的 %，决算数较201</w:t>
      </w:r>
      <w:r>
        <w:rPr>
          <w:rFonts w:hint="eastAsia" w:ascii="仿宋" w:hAnsi="仿宋" w:eastAsia="仿宋"/>
          <w:color w:val="auto"/>
          <w:sz w:val="30"/>
          <w:szCs w:val="30"/>
          <w:lang w:val="en-US" w:eastAsia="zh-CN"/>
        </w:rPr>
        <w:t>8</w:t>
      </w:r>
      <w:r>
        <w:rPr>
          <w:rFonts w:hint="eastAsia" w:ascii="仿宋" w:hAnsi="仿宋" w:eastAsia="仿宋"/>
          <w:color w:val="auto"/>
          <w:sz w:val="30"/>
          <w:szCs w:val="30"/>
        </w:rPr>
        <w:t>年增加</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 xml:space="preserve"> 万元。</w:t>
      </w:r>
    </w:p>
    <w:p>
      <w:pPr>
        <w:ind w:firstLine="630"/>
        <w:jc w:val="left"/>
        <w:rPr>
          <w:rFonts w:hint="eastAsia" w:ascii="黑体" w:hAnsi="黑体" w:eastAsia="黑体"/>
          <w:color w:val="auto"/>
          <w:sz w:val="30"/>
          <w:szCs w:val="30"/>
        </w:rPr>
      </w:pPr>
      <w:r>
        <w:rPr>
          <w:rFonts w:hint="eastAsia" w:ascii="黑体" w:hAnsi="黑体" w:eastAsia="黑体"/>
          <w:color w:val="auto"/>
          <w:sz w:val="30"/>
          <w:szCs w:val="30"/>
        </w:rPr>
        <w:t>六、机关运行经费支出情况说明</w:t>
      </w:r>
    </w:p>
    <w:p>
      <w:pPr>
        <w:ind w:firstLine="630"/>
        <w:jc w:val="left"/>
        <w:rPr>
          <w:rFonts w:hint="eastAsia" w:ascii="仿宋" w:hAnsi="仿宋" w:eastAsia="仿宋"/>
          <w:color w:val="auto"/>
          <w:sz w:val="30"/>
          <w:szCs w:val="30"/>
        </w:rPr>
      </w:pPr>
      <w:r>
        <w:rPr>
          <w:rFonts w:hint="eastAsia" w:ascii="仿宋" w:hAnsi="仿宋" w:eastAsia="仿宋"/>
          <w:color w:val="auto"/>
          <w:sz w:val="30"/>
          <w:szCs w:val="30"/>
        </w:rPr>
        <w:t>本部门201</w:t>
      </w:r>
      <w:r>
        <w:rPr>
          <w:rFonts w:hint="eastAsia" w:ascii="仿宋" w:hAnsi="仿宋" w:eastAsia="仿宋"/>
          <w:color w:val="auto"/>
          <w:sz w:val="30"/>
          <w:szCs w:val="30"/>
          <w:lang w:val="en-US" w:eastAsia="zh-CN"/>
        </w:rPr>
        <w:t>9</w:t>
      </w:r>
      <w:r>
        <w:rPr>
          <w:rFonts w:hint="eastAsia" w:ascii="仿宋" w:hAnsi="仿宋" w:eastAsia="仿宋"/>
          <w:color w:val="auto"/>
          <w:sz w:val="30"/>
          <w:szCs w:val="30"/>
        </w:rPr>
        <w:t>年度机关运行经费支出</w:t>
      </w:r>
      <w:r>
        <w:rPr>
          <w:rFonts w:hint="eastAsia" w:ascii="仿宋" w:hAnsi="仿宋" w:eastAsia="仿宋"/>
          <w:color w:val="auto"/>
          <w:sz w:val="30"/>
          <w:szCs w:val="30"/>
          <w:lang w:val="en-US" w:eastAsia="zh-CN"/>
        </w:rPr>
        <w:t>197.67</w:t>
      </w:r>
      <w:r>
        <w:rPr>
          <w:rFonts w:hint="eastAsia" w:ascii="仿宋" w:hAnsi="仿宋" w:eastAsia="仿宋"/>
          <w:color w:val="auto"/>
          <w:sz w:val="30"/>
          <w:szCs w:val="30"/>
        </w:rPr>
        <w:t xml:space="preserve">万元（与部门决算中行政单位和参照公务员法管理事业单位一般公共预算财政拨款基本支出中公用经费之和保持一致），较年初预算数增加（减少） </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 xml:space="preserve"> 万元，</w:t>
      </w:r>
      <w:r>
        <w:rPr>
          <w:rFonts w:hint="eastAsia" w:ascii="仿宋" w:hAnsi="仿宋" w:eastAsia="仿宋"/>
          <w:color w:val="auto"/>
          <w:sz w:val="30"/>
          <w:szCs w:val="30"/>
          <w:lang w:eastAsia="zh-CN"/>
        </w:rPr>
        <w:t>完成</w:t>
      </w:r>
      <w:r>
        <w:rPr>
          <w:rFonts w:hint="eastAsia" w:ascii="仿宋" w:hAnsi="仿宋" w:eastAsia="仿宋"/>
          <w:color w:val="auto"/>
          <w:sz w:val="30"/>
          <w:szCs w:val="30"/>
          <w:lang w:val="en-US" w:eastAsia="zh-CN"/>
        </w:rPr>
        <w:t>100%</w:t>
      </w:r>
      <w:r>
        <w:rPr>
          <w:rFonts w:hint="eastAsia" w:ascii="仿宋" w:hAnsi="仿宋" w:eastAsia="仿宋"/>
          <w:color w:val="auto"/>
          <w:sz w:val="30"/>
          <w:szCs w:val="30"/>
        </w:rPr>
        <w:t xml:space="preserve">。 </w:t>
      </w:r>
    </w:p>
    <w:p>
      <w:pPr>
        <w:ind w:firstLine="630"/>
        <w:jc w:val="left"/>
        <w:rPr>
          <w:rFonts w:ascii="黑体" w:hAnsi="黑体" w:eastAsia="黑体"/>
          <w:color w:val="auto"/>
          <w:sz w:val="30"/>
          <w:szCs w:val="30"/>
        </w:rPr>
      </w:pPr>
      <w:r>
        <w:rPr>
          <w:rFonts w:hint="eastAsia" w:ascii="黑体" w:hAnsi="黑体" w:eastAsia="黑体"/>
          <w:color w:val="auto"/>
          <w:sz w:val="30"/>
          <w:szCs w:val="30"/>
        </w:rPr>
        <w:t>七、政府采购支出情况说明</w:t>
      </w:r>
    </w:p>
    <w:p>
      <w:pPr>
        <w:pStyle w:val="9"/>
        <w:spacing w:line="600" w:lineRule="atLeast"/>
        <w:ind w:firstLine="600"/>
        <w:rPr>
          <w:rFonts w:hint="eastAsia" w:ascii="仿宋" w:hAnsi="仿宋" w:eastAsia="仿宋"/>
          <w:color w:val="auto"/>
          <w:sz w:val="30"/>
          <w:szCs w:val="30"/>
          <w:lang w:eastAsia="zh-CN"/>
        </w:rPr>
      </w:pPr>
      <w:r>
        <w:rPr>
          <w:rFonts w:hint="eastAsia" w:ascii="仿宋" w:hAnsi="仿宋" w:eastAsia="仿宋"/>
          <w:color w:val="auto"/>
          <w:sz w:val="30"/>
          <w:szCs w:val="30"/>
        </w:rPr>
        <w:t>本部门201</w:t>
      </w:r>
      <w:r>
        <w:rPr>
          <w:rFonts w:hint="eastAsia" w:ascii="仿宋" w:hAnsi="仿宋" w:eastAsia="仿宋"/>
          <w:color w:val="auto"/>
          <w:sz w:val="30"/>
          <w:szCs w:val="30"/>
          <w:lang w:val="en-US" w:eastAsia="zh-CN"/>
        </w:rPr>
        <w:t>9</w:t>
      </w:r>
      <w:r>
        <w:rPr>
          <w:rFonts w:hint="eastAsia" w:ascii="仿宋" w:hAnsi="仿宋" w:eastAsia="仿宋"/>
          <w:color w:val="auto"/>
          <w:sz w:val="30"/>
          <w:szCs w:val="30"/>
        </w:rPr>
        <w:t xml:space="preserve">年度政府采购支出总额 </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万元</w:t>
      </w:r>
      <w:r>
        <w:rPr>
          <w:rFonts w:hint="eastAsia" w:ascii="仿宋" w:hAnsi="仿宋" w:eastAsia="仿宋"/>
          <w:color w:val="auto"/>
          <w:sz w:val="30"/>
          <w:szCs w:val="30"/>
          <w:lang w:eastAsia="zh-CN"/>
        </w:rPr>
        <w:t>。</w:t>
      </w:r>
    </w:p>
    <w:p>
      <w:pPr>
        <w:ind w:firstLine="630"/>
        <w:jc w:val="left"/>
        <w:rPr>
          <w:rFonts w:hint="eastAsia" w:ascii="黑体" w:hAnsi="黑体" w:eastAsia="黑体"/>
          <w:color w:val="auto"/>
          <w:sz w:val="30"/>
          <w:szCs w:val="30"/>
        </w:rPr>
      </w:pPr>
      <w:r>
        <w:rPr>
          <w:rFonts w:hint="eastAsia" w:ascii="黑体" w:hAnsi="黑体" w:eastAsia="黑体"/>
          <w:color w:val="auto"/>
          <w:sz w:val="30"/>
          <w:szCs w:val="30"/>
        </w:rPr>
        <w:t>八、国有资产占用情况说明。</w:t>
      </w:r>
    </w:p>
    <w:p>
      <w:pPr>
        <w:ind w:firstLine="630"/>
        <w:jc w:val="left"/>
        <w:rPr>
          <w:rFonts w:hint="eastAsia" w:ascii="仿宋" w:hAnsi="仿宋" w:eastAsia="仿宋"/>
          <w:color w:val="auto"/>
          <w:kern w:val="0"/>
          <w:sz w:val="30"/>
          <w:szCs w:val="30"/>
        </w:rPr>
      </w:pPr>
      <w:r>
        <w:rPr>
          <w:rFonts w:hint="eastAsia" w:ascii="仿宋" w:hAnsi="仿宋" w:eastAsia="仿宋"/>
          <w:color w:val="auto"/>
          <w:kern w:val="0"/>
          <w:sz w:val="30"/>
          <w:szCs w:val="30"/>
        </w:rPr>
        <w:t>截止201</w:t>
      </w:r>
      <w:r>
        <w:rPr>
          <w:rFonts w:hint="eastAsia" w:ascii="仿宋" w:hAnsi="仿宋" w:eastAsia="仿宋"/>
          <w:color w:val="auto"/>
          <w:kern w:val="0"/>
          <w:sz w:val="30"/>
          <w:szCs w:val="30"/>
          <w:lang w:val="en-US" w:eastAsia="zh-CN"/>
        </w:rPr>
        <w:t>9</w:t>
      </w:r>
      <w:r>
        <w:rPr>
          <w:rFonts w:hint="eastAsia" w:ascii="仿宋" w:hAnsi="仿宋" w:eastAsia="仿宋"/>
          <w:color w:val="auto"/>
          <w:kern w:val="0"/>
          <w:sz w:val="30"/>
          <w:szCs w:val="30"/>
        </w:rPr>
        <w:t>年12月31日，本部门</w:t>
      </w:r>
      <w:r>
        <w:rPr>
          <w:rFonts w:hint="eastAsia" w:ascii="仿宋" w:hAnsi="仿宋" w:eastAsia="仿宋"/>
          <w:color w:val="auto"/>
          <w:kern w:val="0"/>
          <w:sz w:val="30"/>
          <w:szCs w:val="30"/>
          <w:lang w:eastAsia="zh-CN"/>
        </w:rPr>
        <w:t>共有车辆</w:t>
      </w:r>
      <w:r>
        <w:rPr>
          <w:rFonts w:hint="eastAsia" w:ascii="仿宋" w:hAnsi="仿宋" w:eastAsia="仿宋"/>
          <w:color w:val="auto"/>
          <w:kern w:val="0"/>
          <w:sz w:val="30"/>
          <w:szCs w:val="30"/>
          <w:lang w:val="en-US" w:eastAsia="zh-CN"/>
        </w:rPr>
        <w:t>0辆</w:t>
      </w:r>
      <w:r>
        <w:rPr>
          <w:rFonts w:hint="eastAsia" w:ascii="仿宋" w:hAnsi="仿宋" w:eastAsia="仿宋"/>
          <w:color w:val="auto"/>
          <w:kern w:val="0"/>
          <w:sz w:val="30"/>
          <w:szCs w:val="30"/>
        </w:rPr>
        <w:t>。</w:t>
      </w:r>
    </w:p>
    <w:p>
      <w:pPr>
        <w:ind w:firstLine="630"/>
        <w:jc w:val="left"/>
        <w:rPr>
          <w:rFonts w:hint="eastAsia" w:ascii="黑体" w:hAnsi="黑体" w:eastAsia="黑体"/>
          <w:color w:val="auto"/>
          <w:sz w:val="30"/>
          <w:szCs w:val="30"/>
        </w:rPr>
      </w:pPr>
      <w:r>
        <w:rPr>
          <w:rFonts w:hint="eastAsia" w:ascii="黑体" w:hAnsi="黑体" w:eastAsia="黑体"/>
          <w:color w:val="auto"/>
          <w:sz w:val="30"/>
          <w:szCs w:val="30"/>
        </w:rPr>
        <w:t>九、预算绩效情况说明</w:t>
      </w:r>
    </w:p>
    <w:p>
      <w:pPr>
        <w:autoSpaceDE w:val="0"/>
        <w:autoSpaceDN w:val="0"/>
        <w:adjustRightInd w:val="0"/>
        <w:spacing w:line="360" w:lineRule="auto"/>
        <w:ind w:firstLine="600"/>
        <w:jc w:val="left"/>
        <w:rPr>
          <w:rFonts w:hint="eastAsia" w:ascii="仿宋" w:hAnsi="仿宋" w:eastAsia="仿宋" w:cs="仿宋_GB2312"/>
          <w:color w:val="auto"/>
          <w:kern w:val="0"/>
          <w:sz w:val="30"/>
          <w:szCs w:val="30"/>
          <w:lang w:val="en-US" w:eastAsia="zh-CN"/>
        </w:rPr>
      </w:pPr>
      <w:r>
        <w:rPr>
          <w:rFonts w:hint="eastAsia" w:ascii="仿宋" w:hAnsi="仿宋" w:eastAsia="仿宋" w:cs="仿宋_GB2312"/>
          <w:color w:val="auto"/>
          <w:kern w:val="0"/>
          <w:sz w:val="30"/>
          <w:szCs w:val="30"/>
        </w:rPr>
        <w:t xml:space="preserve">   </w:t>
      </w:r>
      <w:r>
        <w:rPr>
          <w:rFonts w:hint="eastAsia" w:ascii="仿宋" w:hAnsi="仿宋" w:eastAsia="仿宋" w:cs="仿宋_GB2312"/>
          <w:color w:val="auto"/>
          <w:kern w:val="0"/>
          <w:sz w:val="30"/>
          <w:szCs w:val="30"/>
          <w:lang w:eastAsia="zh-CN"/>
        </w:rPr>
        <w:t>我单位没有绩效管理项目</w:t>
      </w:r>
    </w:p>
    <w:p>
      <w:pPr>
        <w:autoSpaceDE w:val="0"/>
        <w:autoSpaceDN w:val="0"/>
        <w:adjustRightInd w:val="0"/>
        <w:spacing w:line="360" w:lineRule="auto"/>
        <w:ind w:firstLine="600"/>
        <w:jc w:val="left"/>
        <w:rPr>
          <w:rFonts w:hint="eastAsia" w:ascii="宋体" w:hAnsi="宋体"/>
          <w:b/>
          <w:color w:val="auto"/>
          <w:sz w:val="32"/>
          <w:szCs w:val="32"/>
        </w:rPr>
      </w:pPr>
      <w:r>
        <w:rPr>
          <w:rFonts w:hint="eastAsia" w:ascii="仿宋" w:hAnsi="仿宋" w:eastAsia="仿宋" w:cs="仿宋_GB2312"/>
          <w:color w:val="auto"/>
          <w:kern w:val="0"/>
          <w:sz w:val="30"/>
          <w:szCs w:val="30"/>
          <w:lang w:val="en-US" w:eastAsia="zh-CN"/>
        </w:rPr>
        <w:t xml:space="preserve">               </w:t>
      </w:r>
      <w:bookmarkStart w:id="0" w:name="_GoBack"/>
      <w:bookmarkEnd w:id="0"/>
      <w:r>
        <w:rPr>
          <w:rFonts w:hint="eastAsia" w:ascii="仿宋" w:hAnsi="仿宋" w:eastAsia="仿宋" w:cs="仿宋_GB2312"/>
          <w:color w:val="auto"/>
          <w:kern w:val="0"/>
          <w:sz w:val="30"/>
          <w:szCs w:val="30"/>
          <w:lang w:val="en-US" w:eastAsia="zh-CN"/>
        </w:rPr>
        <w:t xml:space="preserve"> </w:t>
      </w:r>
      <w:r>
        <w:rPr>
          <w:rFonts w:hint="eastAsia" w:ascii="宋体" w:hAnsi="宋体"/>
          <w:b/>
          <w:color w:val="auto"/>
          <w:sz w:val="32"/>
          <w:szCs w:val="32"/>
        </w:rPr>
        <w:t>第四部分  名词解释</w:t>
      </w:r>
    </w:p>
    <w:p>
      <w:pPr>
        <w:ind w:firstLine="561"/>
        <w:rPr>
          <w:rFonts w:hint="eastAsia" w:ascii="仿宋_GB2312" w:hAnsi="仿宋_GB2312" w:eastAsia="仿宋_GB2312" w:cs="仿宋_GB2312"/>
          <w:i w:val="0"/>
          <w:caps w:val="0"/>
          <w:color w:val="auto"/>
          <w:spacing w:val="0"/>
          <w:sz w:val="32"/>
          <w:szCs w:val="32"/>
          <w:u w:val="none"/>
          <w:vertAlign w:val="baseline"/>
        </w:rPr>
      </w:pPr>
      <w:r>
        <w:rPr>
          <w:rFonts w:hint="eastAsia" w:ascii="仿宋_GB2312" w:hAnsi="仿宋_GB2312" w:eastAsia="仿宋_GB2312" w:cs="仿宋_GB2312"/>
          <w:i w:val="0"/>
          <w:caps w:val="0"/>
          <w:color w:val="auto"/>
          <w:spacing w:val="0"/>
          <w:sz w:val="32"/>
          <w:szCs w:val="32"/>
          <w:vertAlign w:val="baseline"/>
        </w:rPr>
        <w:t>名词解释应以财务会计制度、政府收支分类科目以及部门预算管理等规定为基本说明，可在此基础上结合部门实际情况适当细化。</w:t>
      </w:r>
      <w:r>
        <w:rPr>
          <w:rFonts w:hint="eastAsia" w:ascii="仿宋_GB2312" w:hAnsi="仿宋_GB2312" w:eastAsia="仿宋_GB2312" w:cs="仿宋_GB2312"/>
          <w:i w:val="0"/>
          <w:caps w:val="0"/>
          <w:color w:val="auto"/>
          <w:spacing w:val="0"/>
          <w:sz w:val="32"/>
          <w:szCs w:val="32"/>
          <w:u w:val="none"/>
          <w:vertAlign w:val="baseline"/>
        </w:rPr>
        <w:t>“三公”经费支出（“三公”经费可以采用全口径既财决“三公”经费支出）和机关运行经费支出口径必需予以说明。</w:t>
      </w:r>
    </w:p>
    <w:p>
      <w:pPr>
        <w:ind w:firstLine="561"/>
        <w:rPr>
          <w:rFonts w:hint="eastAsia" w:ascii="仿宋_GB2312" w:hAnsi="仿宋_GB2312" w:eastAsia="仿宋_GB2312" w:cs="仿宋_GB2312"/>
          <w:i w:val="0"/>
          <w:caps w:val="0"/>
          <w:color w:val="auto"/>
          <w:spacing w:val="0"/>
          <w:sz w:val="32"/>
          <w:szCs w:val="32"/>
          <w:u w:val="none"/>
          <w:vertAlign w:val="baseline"/>
        </w:rPr>
      </w:pPr>
      <w:r>
        <w:rPr>
          <w:rFonts w:hint="eastAsia" w:ascii="仿宋_GB2312" w:hAnsi="仿宋_GB2312" w:eastAsia="仿宋_GB2312" w:cs="仿宋_GB2312"/>
          <w:i w:val="0"/>
          <w:caps w:val="0"/>
          <w:color w:val="auto"/>
          <w:spacing w:val="0"/>
          <w:sz w:val="32"/>
          <w:szCs w:val="32"/>
          <w:u w:val="none"/>
          <w:vertAlign w:val="baseline"/>
        </w:rPr>
        <w:t> </w:t>
      </w:r>
      <w:r>
        <w:rPr>
          <w:rFonts w:hint="eastAsia" w:ascii="仿宋_GB2312" w:hAnsi="仿宋_GB2312" w:eastAsia="仿宋_GB2312" w:cs="仿宋_GB2312"/>
          <w:b/>
          <w:bCs/>
          <w:i w:val="0"/>
          <w:caps w:val="0"/>
          <w:color w:val="auto"/>
          <w:spacing w:val="0"/>
          <w:sz w:val="32"/>
          <w:szCs w:val="32"/>
          <w:u w:val="none"/>
          <w:vertAlign w:val="baseline"/>
        </w:rPr>
        <w:t>一、收入科目</w:t>
      </w:r>
    </w:p>
    <w:p>
      <w:pPr>
        <w:ind w:firstLine="561"/>
        <w:rPr>
          <w:rFonts w:hint="eastAsia" w:ascii="仿宋_GB2312" w:hAnsi="仿宋_GB2312" w:eastAsia="仿宋_GB2312" w:cs="仿宋_GB2312"/>
          <w:i w:val="0"/>
          <w:caps w:val="0"/>
          <w:color w:val="auto"/>
          <w:spacing w:val="0"/>
          <w:sz w:val="32"/>
          <w:szCs w:val="32"/>
          <w:u w:val="none"/>
          <w:vertAlign w:val="baseline"/>
        </w:rPr>
      </w:pPr>
      <w:r>
        <w:rPr>
          <w:rFonts w:hint="eastAsia" w:ascii="仿宋_GB2312" w:hAnsi="仿宋_GB2312" w:eastAsia="仿宋_GB2312" w:cs="仿宋_GB2312"/>
          <w:i w:val="0"/>
          <w:caps w:val="0"/>
          <w:color w:val="auto"/>
          <w:spacing w:val="0"/>
          <w:sz w:val="32"/>
          <w:szCs w:val="32"/>
          <w:u w:val="none"/>
          <w:vertAlign w:val="baseline"/>
        </w:rPr>
        <w:t>   （一）财政拨款：指省级财政当年拨付的资金。</w:t>
      </w:r>
    </w:p>
    <w:p>
      <w:pPr>
        <w:ind w:firstLine="561"/>
        <w:rPr>
          <w:rFonts w:hint="eastAsia" w:ascii="仿宋_GB2312" w:hAnsi="仿宋_GB2312" w:eastAsia="仿宋_GB2312" w:cs="仿宋_GB2312"/>
          <w:i w:val="0"/>
          <w:caps w:val="0"/>
          <w:color w:val="auto"/>
          <w:spacing w:val="0"/>
          <w:sz w:val="32"/>
          <w:szCs w:val="32"/>
          <w:u w:val="none"/>
          <w:vertAlign w:val="baseline"/>
        </w:rPr>
      </w:pPr>
      <w:r>
        <w:rPr>
          <w:rFonts w:hint="eastAsia" w:ascii="仿宋_GB2312" w:hAnsi="仿宋_GB2312" w:eastAsia="仿宋_GB2312" w:cs="仿宋_GB2312"/>
          <w:i w:val="0"/>
          <w:caps w:val="0"/>
          <w:color w:val="auto"/>
          <w:spacing w:val="0"/>
          <w:sz w:val="32"/>
          <w:szCs w:val="32"/>
          <w:u w:val="none"/>
          <w:vertAlign w:val="baseline"/>
        </w:rPr>
        <w:t>   （二）事业收入：指事业单位开展专业业务活动及辅助活动取得的收入。</w:t>
      </w:r>
    </w:p>
    <w:p>
      <w:pPr>
        <w:ind w:firstLine="561"/>
        <w:rPr>
          <w:rFonts w:hint="eastAsia" w:ascii="仿宋_GB2312" w:hAnsi="仿宋_GB2312" w:eastAsia="仿宋_GB2312" w:cs="仿宋_GB2312"/>
          <w:i w:val="0"/>
          <w:caps w:val="0"/>
          <w:color w:val="auto"/>
          <w:spacing w:val="0"/>
          <w:sz w:val="32"/>
          <w:szCs w:val="32"/>
          <w:u w:val="none"/>
          <w:vertAlign w:val="baseline"/>
        </w:rPr>
      </w:pPr>
      <w:r>
        <w:rPr>
          <w:rFonts w:hint="eastAsia" w:ascii="仿宋_GB2312" w:hAnsi="仿宋_GB2312" w:eastAsia="仿宋_GB2312" w:cs="仿宋_GB2312"/>
          <w:i w:val="0"/>
          <w:caps w:val="0"/>
          <w:color w:val="auto"/>
          <w:spacing w:val="0"/>
          <w:sz w:val="32"/>
          <w:szCs w:val="32"/>
          <w:u w:val="none"/>
          <w:vertAlign w:val="baseline"/>
        </w:rPr>
        <w:t>   （三）事业单位经营收入：指事业单位在专业业务活动及辅助活动之外开展非独立核算经营活动取得的收入。</w:t>
      </w:r>
    </w:p>
    <w:p>
      <w:pPr>
        <w:ind w:firstLine="561"/>
        <w:rPr>
          <w:rFonts w:hint="eastAsia" w:ascii="仿宋_GB2312" w:hAnsi="仿宋_GB2312" w:eastAsia="仿宋_GB2312" w:cs="仿宋_GB2312"/>
          <w:i w:val="0"/>
          <w:caps w:val="0"/>
          <w:color w:val="auto"/>
          <w:spacing w:val="0"/>
          <w:sz w:val="32"/>
          <w:szCs w:val="32"/>
          <w:u w:val="none"/>
          <w:vertAlign w:val="baseline"/>
        </w:rPr>
      </w:pPr>
      <w:r>
        <w:rPr>
          <w:rFonts w:hint="eastAsia" w:ascii="仿宋_GB2312" w:hAnsi="仿宋_GB2312" w:eastAsia="仿宋_GB2312" w:cs="仿宋_GB2312"/>
          <w:i w:val="0"/>
          <w:caps w:val="0"/>
          <w:color w:val="auto"/>
          <w:spacing w:val="0"/>
          <w:sz w:val="32"/>
          <w:szCs w:val="32"/>
          <w:u w:val="none"/>
          <w:vertAlign w:val="baseline"/>
        </w:rPr>
        <w:t>   （四）其他收入：指除财政补助拨款、事业收入、事业单位经营收入等以外的各项收入。</w:t>
      </w:r>
    </w:p>
    <w:p>
      <w:pPr>
        <w:ind w:firstLine="561"/>
        <w:rPr>
          <w:rFonts w:hint="eastAsia" w:ascii="仿宋_GB2312" w:hAnsi="仿宋_GB2312" w:eastAsia="仿宋_GB2312" w:cs="仿宋_GB2312"/>
          <w:i w:val="0"/>
          <w:caps w:val="0"/>
          <w:color w:val="auto"/>
          <w:spacing w:val="0"/>
          <w:sz w:val="32"/>
          <w:szCs w:val="32"/>
          <w:u w:val="none"/>
          <w:vertAlign w:val="baseline"/>
        </w:rPr>
      </w:pPr>
      <w:r>
        <w:rPr>
          <w:rFonts w:hint="eastAsia" w:ascii="仿宋_GB2312" w:hAnsi="仿宋_GB2312" w:eastAsia="仿宋_GB2312" w:cs="仿宋_GB2312"/>
          <w:i w:val="0"/>
          <w:caps w:val="0"/>
          <w:color w:val="auto"/>
          <w:spacing w:val="0"/>
          <w:sz w:val="32"/>
          <w:szCs w:val="32"/>
          <w:u w:val="none"/>
          <w:vertAlign w:val="baseline"/>
        </w:rPr>
        <w:t>      （</w:t>
      </w:r>
      <w:r>
        <w:rPr>
          <w:rFonts w:hint="eastAsia" w:ascii="仿宋_GB2312" w:hAnsi="仿宋_GB2312" w:eastAsia="仿宋_GB2312" w:cs="仿宋_GB2312"/>
          <w:i w:val="0"/>
          <w:caps w:val="0"/>
          <w:color w:val="auto"/>
          <w:spacing w:val="0"/>
          <w:sz w:val="32"/>
          <w:szCs w:val="32"/>
          <w:u w:val="none"/>
          <w:vertAlign w:val="baseline"/>
          <w:lang w:eastAsia="zh-CN"/>
        </w:rPr>
        <w:t>五</w:t>
      </w:r>
      <w:r>
        <w:rPr>
          <w:rFonts w:hint="eastAsia" w:ascii="仿宋_GB2312" w:hAnsi="仿宋_GB2312" w:eastAsia="仿宋_GB2312" w:cs="仿宋_GB2312"/>
          <w:i w:val="0"/>
          <w:caps w:val="0"/>
          <w:color w:val="auto"/>
          <w:spacing w:val="0"/>
          <w:sz w:val="32"/>
          <w:szCs w:val="32"/>
          <w:u w:val="none"/>
          <w:vertAlign w:val="baseline"/>
        </w:rPr>
        <w:t>）上级补助收入：反映事业单位从主管部门和上级单位取得的非财政补助收入。</w:t>
      </w:r>
    </w:p>
    <w:p>
      <w:pPr>
        <w:ind w:firstLine="561"/>
        <w:rPr>
          <w:rFonts w:hint="eastAsia" w:ascii="仿宋_GB2312" w:hAnsi="仿宋_GB2312" w:eastAsia="仿宋_GB2312" w:cs="仿宋_GB2312"/>
          <w:i w:val="0"/>
          <w:caps w:val="0"/>
          <w:color w:val="auto"/>
          <w:spacing w:val="0"/>
          <w:sz w:val="32"/>
          <w:szCs w:val="32"/>
          <w:u w:val="none"/>
          <w:vertAlign w:val="baseline"/>
        </w:rPr>
      </w:pPr>
      <w:r>
        <w:rPr>
          <w:rFonts w:hint="eastAsia" w:ascii="仿宋_GB2312" w:hAnsi="仿宋_GB2312" w:eastAsia="仿宋_GB2312" w:cs="仿宋_GB2312"/>
          <w:i w:val="0"/>
          <w:caps w:val="0"/>
          <w:color w:val="auto"/>
          <w:spacing w:val="0"/>
          <w:sz w:val="32"/>
          <w:szCs w:val="32"/>
          <w:u w:val="none"/>
          <w:vertAlign w:val="baseline"/>
        </w:rPr>
        <w:t>     （</w:t>
      </w:r>
      <w:r>
        <w:rPr>
          <w:rFonts w:hint="eastAsia" w:ascii="仿宋_GB2312" w:hAnsi="仿宋_GB2312" w:eastAsia="仿宋_GB2312" w:cs="仿宋_GB2312"/>
          <w:i w:val="0"/>
          <w:caps w:val="0"/>
          <w:color w:val="auto"/>
          <w:spacing w:val="0"/>
          <w:sz w:val="32"/>
          <w:szCs w:val="32"/>
          <w:u w:val="none"/>
          <w:vertAlign w:val="baseline"/>
          <w:lang w:eastAsia="zh-CN"/>
        </w:rPr>
        <w:t>六</w:t>
      </w:r>
      <w:r>
        <w:rPr>
          <w:rFonts w:hint="eastAsia" w:ascii="仿宋_GB2312" w:hAnsi="仿宋_GB2312" w:eastAsia="仿宋_GB2312" w:cs="仿宋_GB2312"/>
          <w:i w:val="0"/>
          <w:caps w:val="0"/>
          <w:color w:val="auto"/>
          <w:spacing w:val="0"/>
          <w:sz w:val="32"/>
          <w:szCs w:val="32"/>
          <w:u w:val="none"/>
          <w:vertAlign w:val="baseline"/>
        </w:rPr>
        <w:t>）上年结转和结余：填列2017年全部结转和结余的资金数，包括当年结转结余资金和历年滚存结存结余资金。</w:t>
      </w:r>
    </w:p>
    <w:p>
      <w:pPr>
        <w:ind w:firstLine="1179" w:firstLineChars="367"/>
        <w:rPr>
          <w:rFonts w:hint="eastAsia" w:ascii="仿宋_GB2312" w:hAnsi="仿宋_GB2312" w:eastAsia="仿宋_GB2312" w:cs="仿宋_GB2312"/>
          <w:i w:val="0"/>
          <w:caps w:val="0"/>
          <w:color w:val="auto"/>
          <w:spacing w:val="0"/>
          <w:sz w:val="32"/>
          <w:szCs w:val="32"/>
          <w:u w:val="none"/>
          <w:vertAlign w:val="baseline"/>
        </w:rPr>
      </w:pPr>
      <w:r>
        <w:rPr>
          <w:rFonts w:hint="eastAsia" w:ascii="仿宋_GB2312" w:hAnsi="仿宋_GB2312" w:eastAsia="仿宋_GB2312" w:cs="仿宋_GB2312"/>
          <w:b/>
          <w:bCs/>
          <w:i w:val="0"/>
          <w:caps w:val="0"/>
          <w:color w:val="auto"/>
          <w:spacing w:val="0"/>
          <w:sz w:val="32"/>
          <w:szCs w:val="32"/>
          <w:u w:val="none"/>
          <w:vertAlign w:val="baseline"/>
        </w:rPr>
        <w:t>二、支出科目</w:t>
      </w:r>
    </w:p>
    <w:p>
      <w:pPr>
        <w:ind w:firstLine="561"/>
        <w:rPr>
          <w:rFonts w:hint="eastAsia" w:ascii="仿宋_GB2312" w:hAnsi="仿宋_GB2312" w:eastAsia="仿宋_GB2312" w:cs="仿宋_GB2312"/>
          <w:i w:val="0"/>
          <w:caps w:val="0"/>
          <w:color w:val="auto"/>
          <w:spacing w:val="0"/>
          <w:sz w:val="32"/>
          <w:szCs w:val="32"/>
          <w:u w:val="none"/>
          <w:vertAlign w:val="baseline"/>
        </w:rPr>
      </w:pPr>
      <w:r>
        <w:rPr>
          <w:rFonts w:hint="eastAsia" w:ascii="仿宋_GB2312" w:hAnsi="仿宋_GB2312" w:eastAsia="仿宋_GB2312" w:cs="仿宋_GB2312"/>
          <w:i w:val="0"/>
          <w:caps w:val="0"/>
          <w:color w:val="auto"/>
          <w:spacing w:val="0"/>
          <w:sz w:val="32"/>
          <w:szCs w:val="32"/>
          <w:u w:val="none"/>
          <w:vertAlign w:val="baseline"/>
        </w:rPr>
        <w:t>   （一）一般公共服务支出（类）政府办公厅（室）及相关机构事务（款）行政运行（项）：反映行政单位（包括实行公务员管理的事业单位）的基本支出。</w:t>
      </w:r>
    </w:p>
    <w:p>
      <w:pPr>
        <w:ind w:firstLine="561"/>
        <w:rPr>
          <w:rFonts w:hint="eastAsia" w:ascii="仿宋_GB2312" w:hAnsi="仿宋_GB2312" w:eastAsia="仿宋_GB2312" w:cs="仿宋_GB2312"/>
          <w:i w:val="0"/>
          <w:caps w:val="0"/>
          <w:color w:val="auto"/>
          <w:spacing w:val="0"/>
          <w:sz w:val="32"/>
          <w:szCs w:val="32"/>
          <w:u w:val="none"/>
          <w:vertAlign w:val="baseline"/>
        </w:rPr>
      </w:pPr>
      <w:r>
        <w:rPr>
          <w:rFonts w:hint="eastAsia" w:ascii="仿宋_GB2312" w:hAnsi="仿宋_GB2312" w:eastAsia="仿宋_GB2312" w:cs="仿宋_GB2312"/>
          <w:i w:val="0"/>
          <w:caps w:val="0"/>
          <w:color w:val="auto"/>
          <w:spacing w:val="0"/>
          <w:sz w:val="32"/>
          <w:szCs w:val="32"/>
          <w:u w:val="none"/>
          <w:vertAlign w:val="baseline"/>
        </w:rPr>
        <w:t>   （二）一般公共服务支出（类）政府办公厅（室）及相关机构事务（款）一般行政管理事务（项）：反映行政单位（包括实行公务员管理的事业单位）未单独设置项级科目的其他项目支出。</w:t>
      </w:r>
    </w:p>
    <w:p>
      <w:pPr>
        <w:ind w:firstLine="561"/>
        <w:rPr>
          <w:rFonts w:hint="eastAsia" w:ascii="仿宋_GB2312" w:hAnsi="仿宋_GB2312" w:eastAsia="仿宋_GB2312" w:cs="仿宋_GB2312"/>
          <w:i w:val="0"/>
          <w:caps w:val="0"/>
          <w:color w:val="auto"/>
          <w:spacing w:val="0"/>
          <w:sz w:val="32"/>
          <w:szCs w:val="32"/>
          <w:u w:val="none"/>
          <w:vertAlign w:val="baseline"/>
        </w:rPr>
      </w:pPr>
      <w:r>
        <w:rPr>
          <w:rFonts w:hint="eastAsia" w:ascii="仿宋_GB2312" w:hAnsi="仿宋_GB2312" w:eastAsia="仿宋_GB2312" w:cs="仿宋_GB2312"/>
          <w:i w:val="0"/>
          <w:caps w:val="0"/>
          <w:color w:val="auto"/>
          <w:spacing w:val="0"/>
          <w:sz w:val="32"/>
          <w:szCs w:val="32"/>
          <w:u w:val="none"/>
          <w:vertAlign w:val="baseline"/>
        </w:rPr>
        <w:t>   （三）一般公共服务支出（类）政府办公厅（室）及相关机构事务（款）事业运行（项）：反映事业单位的基本支出，不包括行政单位（包括实行公务员管理的事业单位）后勤服务中心、医疗室等附属事业单位。</w:t>
      </w:r>
    </w:p>
    <w:p>
      <w:pPr>
        <w:ind w:firstLine="561"/>
        <w:rPr>
          <w:rFonts w:hint="eastAsia" w:ascii="仿宋_GB2312" w:hAnsi="仿宋_GB2312" w:eastAsia="仿宋_GB2312" w:cs="仿宋_GB2312"/>
          <w:i w:val="0"/>
          <w:caps w:val="0"/>
          <w:color w:val="auto"/>
          <w:spacing w:val="0"/>
          <w:sz w:val="32"/>
          <w:szCs w:val="32"/>
          <w:u w:val="none"/>
          <w:vertAlign w:val="baseline"/>
        </w:rPr>
      </w:pPr>
      <w:r>
        <w:rPr>
          <w:rFonts w:hint="eastAsia" w:ascii="仿宋_GB2312" w:hAnsi="仿宋_GB2312" w:eastAsia="仿宋_GB2312" w:cs="仿宋_GB2312"/>
          <w:i w:val="0"/>
          <w:caps w:val="0"/>
          <w:color w:val="auto"/>
          <w:spacing w:val="0"/>
          <w:sz w:val="32"/>
          <w:szCs w:val="32"/>
          <w:u w:val="none"/>
          <w:vertAlign w:val="baseline"/>
        </w:rPr>
        <w:t>   （四）一般公共服务支出（类）政府办公厅（室）及相关机构事务（款）其他政府办公厅（室）及相关机构事务事业运行（项）：反映除上述项目以外的其他政府办公厅（室）及相关机构事务支出。</w:t>
      </w:r>
    </w:p>
    <w:p>
      <w:pPr>
        <w:ind w:firstLine="561"/>
        <w:rPr>
          <w:rFonts w:hint="eastAsia" w:ascii="仿宋_GB2312" w:hAnsi="仿宋_GB2312" w:eastAsia="仿宋_GB2312" w:cs="仿宋_GB2312"/>
          <w:i w:val="0"/>
          <w:caps w:val="0"/>
          <w:color w:val="auto"/>
          <w:spacing w:val="0"/>
          <w:sz w:val="32"/>
          <w:szCs w:val="32"/>
          <w:u w:val="none"/>
          <w:vertAlign w:val="baseline"/>
        </w:rPr>
      </w:pPr>
      <w:r>
        <w:rPr>
          <w:rFonts w:hint="eastAsia" w:ascii="仿宋_GB2312" w:hAnsi="仿宋_GB2312" w:eastAsia="仿宋_GB2312" w:cs="仿宋_GB2312"/>
          <w:i w:val="0"/>
          <w:caps w:val="0"/>
          <w:color w:val="auto"/>
          <w:spacing w:val="0"/>
          <w:sz w:val="32"/>
          <w:szCs w:val="32"/>
          <w:u w:val="none"/>
          <w:vertAlign w:val="baseline"/>
        </w:rPr>
        <w:t>   （五）社会保障和就业支出（类）行政事业单位离退休（款）机关事业单位基本养老保险缴费支出（项）：反映机关事业单位实施养老保险制度由单位缴纳的基本养老保险费支出。</w:t>
      </w:r>
    </w:p>
    <w:p>
      <w:pPr>
        <w:ind w:firstLine="561"/>
        <w:rPr>
          <w:rFonts w:hint="eastAsia" w:ascii="仿宋_GB2312" w:hAnsi="仿宋_GB2312" w:eastAsia="仿宋_GB2312" w:cs="仿宋_GB2312"/>
          <w:i w:val="0"/>
          <w:caps w:val="0"/>
          <w:color w:val="auto"/>
          <w:spacing w:val="0"/>
          <w:sz w:val="32"/>
          <w:szCs w:val="32"/>
          <w:u w:val="none"/>
          <w:vertAlign w:val="baseline"/>
        </w:rPr>
      </w:pPr>
      <w:r>
        <w:rPr>
          <w:rFonts w:hint="eastAsia" w:ascii="仿宋_GB2312" w:hAnsi="仿宋_GB2312" w:eastAsia="仿宋_GB2312" w:cs="仿宋_GB2312"/>
          <w:i w:val="0"/>
          <w:caps w:val="0"/>
          <w:color w:val="auto"/>
          <w:spacing w:val="0"/>
          <w:sz w:val="32"/>
          <w:szCs w:val="32"/>
          <w:u w:val="none"/>
          <w:vertAlign w:val="baseline"/>
        </w:rPr>
        <w:t> （</w:t>
      </w:r>
      <w:r>
        <w:rPr>
          <w:rFonts w:hint="eastAsia" w:ascii="仿宋_GB2312" w:hAnsi="仿宋_GB2312" w:eastAsia="仿宋_GB2312" w:cs="仿宋_GB2312"/>
          <w:i w:val="0"/>
          <w:caps w:val="0"/>
          <w:color w:val="auto"/>
          <w:spacing w:val="0"/>
          <w:sz w:val="32"/>
          <w:szCs w:val="32"/>
          <w:u w:val="none"/>
          <w:vertAlign w:val="baseline"/>
          <w:lang w:eastAsia="zh-CN"/>
        </w:rPr>
        <w:t>六</w:t>
      </w:r>
      <w:r>
        <w:rPr>
          <w:rFonts w:hint="eastAsia" w:ascii="仿宋_GB2312" w:hAnsi="仿宋_GB2312" w:eastAsia="仿宋_GB2312" w:cs="仿宋_GB2312"/>
          <w:i w:val="0"/>
          <w:caps w:val="0"/>
          <w:color w:val="auto"/>
          <w:spacing w:val="0"/>
          <w:sz w:val="32"/>
          <w:szCs w:val="32"/>
          <w:u w:val="none"/>
          <w:vertAlign w:val="baseline"/>
        </w:rPr>
        <w:t>）节能环保支出（类）能源节约利用（款）能源节约利用（项）：反映用于能源节约利用方面的支出。</w:t>
      </w:r>
    </w:p>
    <w:p>
      <w:pPr>
        <w:ind w:firstLine="561"/>
        <w:rPr>
          <w:rFonts w:hint="eastAsia" w:ascii="仿宋_GB2312" w:hAnsi="仿宋_GB2312" w:eastAsia="仿宋_GB2312" w:cs="仿宋_GB2312"/>
          <w:i w:val="0"/>
          <w:caps w:val="0"/>
          <w:color w:val="auto"/>
          <w:spacing w:val="0"/>
          <w:sz w:val="32"/>
          <w:szCs w:val="32"/>
          <w:u w:val="none"/>
          <w:vertAlign w:val="baseline"/>
        </w:rPr>
      </w:pPr>
      <w:r>
        <w:rPr>
          <w:rFonts w:hint="eastAsia" w:ascii="仿宋_GB2312" w:hAnsi="仿宋_GB2312" w:eastAsia="仿宋_GB2312" w:cs="仿宋_GB2312"/>
          <w:i w:val="0"/>
          <w:caps w:val="0"/>
          <w:color w:val="auto"/>
          <w:spacing w:val="0"/>
          <w:sz w:val="32"/>
          <w:szCs w:val="32"/>
          <w:u w:val="none"/>
          <w:vertAlign w:val="baseline"/>
        </w:rPr>
        <w:t>   （</w:t>
      </w:r>
      <w:r>
        <w:rPr>
          <w:rFonts w:hint="eastAsia" w:ascii="仿宋_GB2312" w:hAnsi="仿宋_GB2312" w:eastAsia="仿宋_GB2312" w:cs="仿宋_GB2312"/>
          <w:i w:val="0"/>
          <w:caps w:val="0"/>
          <w:color w:val="auto"/>
          <w:spacing w:val="0"/>
          <w:sz w:val="32"/>
          <w:szCs w:val="32"/>
          <w:u w:val="none"/>
          <w:vertAlign w:val="baseline"/>
          <w:lang w:eastAsia="zh-CN"/>
        </w:rPr>
        <w:t>七</w:t>
      </w:r>
      <w:r>
        <w:rPr>
          <w:rFonts w:hint="eastAsia" w:ascii="仿宋_GB2312" w:hAnsi="仿宋_GB2312" w:eastAsia="仿宋_GB2312" w:cs="仿宋_GB2312"/>
          <w:i w:val="0"/>
          <w:caps w:val="0"/>
          <w:color w:val="auto"/>
          <w:spacing w:val="0"/>
          <w:sz w:val="32"/>
          <w:szCs w:val="32"/>
          <w:u w:val="none"/>
          <w:vertAlign w:val="baseline"/>
        </w:rPr>
        <w:t>）机关运行经费：为保障行政单位(包括实行公务员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B3EEE"/>
    <w:rsid w:val="000021E3"/>
    <w:rsid w:val="00011756"/>
    <w:rsid w:val="000150B8"/>
    <w:rsid w:val="000210CD"/>
    <w:rsid w:val="000222F8"/>
    <w:rsid w:val="000246B1"/>
    <w:rsid w:val="0003407D"/>
    <w:rsid w:val="000346CB"/>
    <w:rsid w:val="0004508F"/>
    <w:rsid w:val="00050470"/>
    <w:rsid w:val="00055EF9"/>
    <w:rsid w:val="00064C9F"/>
    <w:rsid w:val="00074CD9"/>
    <w:rsid w:val="00076557"/>
    <w:rsid w:val="0008428A"/>
    <w:rsid w:val="00087085"/>
    <w:rsid w:val="000909BD"/>
    <w:rsid w:val="00095E03"/>
    <w:rsid w:val="000A475B"/>
    <w:rsid w:val="000A53D0"/>
    <w:rsid w:val="000A69B4"/>
    <w:rsid w:val="000B2395"/>
    <w:rsid w:val="000B577D"/>
    <w:rsid w:val="000C381E"/>
    <w:rsid w:val="000C3A2E"/>
    <w:rsid w:val="000C57AE"/>
    <w:rsid w:val="000C7550"/>
    <w:rsid w:val="000E50B2"/>
    <w:rsid w:val="000E7FD8"/>
    <w:rsid w:val="000F0718"/>
    <w:rsid w:val="000F273D"/>
    <w:rsid w:val="000F4530"/>
    <w:rsid w:val="001000F6"/>
    <w:rsid w:val="00100FFD"/>
    <w:rsid w:val="00107EEE"/>
    <w:rsid w:val="00112916"/>
    <w:rsid w:val="001139E6"/>
    <w:rsid w:val="00115149"/>
    <w:rsid w:val="00122A71"/>
    <w:rsid w:val="00131A83"/>
    <w:rsid w:val="001377B5"/>
    <w:rsid w:val="0014391E"/>
    <w:rsid w:val="00143DDA"/>
    <w:rsid w:val="00151D45"/>
    <w:rsid w:val="00152736"/>
    <w:rsid w:val="001530A2"/>
    <w:rsid w:val="0015368E"/>
    <w:rsid w:val="00153C31"/>
    <w:rsid w:val="001604CA"/>
    <w:rsid w:val="0016408F"/>
    <w:rsid w:val="00170CB9"/>
    <w:rsid w:val="00171C85"/>
    <w:rsid w:val="001764C6"/>
    <w:rsid w:val="001800C4"/>
    <w:rsid w:val="00181BAD"/>
    <w:rsid w:val="00184175"/>
    <w:rsid w:val="00192271"/>
    <w:rsid w:val="00193C58"/>
    <w:rsid w:val="00195AAB"/>
    <w:rsid w:val="001977AB"/>
    <w:rsid w:val="001A14EB"/>
    <w:rsid w:val="001A1B16"/>
    <w:rsid w:val="001B241D"/>
    <w:rsid w:val="001B3D9E"/>
    <w:rsid w:val="001B3EEE"/>
    <w:rsid w:val="001B6B91"/>
    <w:rsid w:val="001B7109"/>
    <w:rsid w:val="001C0B1C"/>
    <w:rsid w:val="001C240F"/>
    <w:rsid w:val="001D03C7"/>
    <w:rsid w:val="001D565A"/>
    <w:rsid w:val="001E3EF8"/>
    <w:rsid w:val="001E48CE"/>
    <w:rsid w:val="001F68E9"/>
    <w:rsid w:val="001F6E9B"/>
    <w:rsid w:val="00201070"/>
    <w:rsid w:val="00203C9E"/>
    <w:rsid w:val="00203EF1"/>
    <w:rsid w:val="00217151"/>
    <w:rsid w:val="00227532"/>
    <w:rsid w:val="002458FC"/>
    <w:rsid w:val="00246448"/>
    <w:rsid w:val="00255159"/>
    <w:rsid w:val="002558F6"/>
    <w:rsid w:val="002578D2"/>
    <w:rsid w:val="00262B64"/>
    <w:rsid w:val="002641D5"/>
    <w:rsid w:val="00270A0A"/>
    <w:rsid w:val="002752F8"/>
    <w:rsid w:val="00286F7B"/>
    <w:rsid w:val="0029357D"/>
    <w:rsid w:val="002950F7"/>
    <w:rsid w:val="00295BB3"/>
    <w:rsid w:val="00297F4B"/>
    <w:rsid w:val="002B562F"/>
    <w:rsid w:val="002B6146"/>
    <w:rsid w:val="002B7942"/>
    <w:rsid w:val="002C3A0B"/>
    <w:rsid w:val="002C66F1"/>
    <w:rsid w:val="002C7CF8"/>
    <w:rsid w:val="002D0BD3"/>
    <w:rsid w:val="002D133D"/>
    <w:rsid w:val="002D20A8"/>
    <w:rsid w:val="002D65BE"/>
    <w:rsid w:val="002D7E3A"/>
    <w:rsid w:val="002E2302"/>
    <w:rsid w:val="002E26B9"/>
    <w:rsid w:val="002E5BA1"/>
    <w:rsid w:val="002E619C"/>
    <w:rsid w:val="002E751D"/>
    <w:rsid w:val="003004B4"/>
    <w:rsid w:val="003045F7"/>
    <w:rsid w:val="00304668"/>
    <w:rsid w:val="003062EC"/>
    <w:rsid w:val="003140AD"/>
    <w:rsid w:val="003140E4"/>
    <w:rsid w:val="003171CC"/>
    <w:rsid w:val="00320CAB"/>
    <w:rsid w:val="00321657"/>
    <w:rsid w:val="003236D8"/>
    <w:rsid w:val="00326B7E"/>
    <w:rsid w:val="003304E2"/>
    <w:rsid w:val="0034096F"/>
    <w:rsid w:val="00343A60"/>
    <w:rsid w:val="003461B4"/>
    <w:rsid w:val="00350CD7"/>
    <w:rsid w:val="00352C4F"/>
    <w:rsid w:val="003562E8"/>
    <w:rsid w:val="0036321C"/>
    <w:rsid w:val="00374B47"/>
    <w:rsid w:val="00376628"/>
    <w:rsid w:val="00377874"/>
    <w:rsid w:val="0038714E"/>
    <w:rsid w:val="00390887"/>
    <w:rsid w:val="00391F28"/>
    <w:rsid w:val="003930D8"/>
    <w:rsid w:val="003938CE"/>
    <w:rsid w:val="00393A66"/>
    <w:rsid w:val="00394054"/>
    <w:rsid w:val="00394B1F"/>
    <w:rsid w:val="003956C8"/>
    <w:rsid w:val="003A1EE0"/>
    <w:rsid w:val="003A496D"/>
    <w:rsid w:val="003A559C"/>
    <w:rsid w:val="003A7950"/>
    <w:rsid w:val="003B2B79"/>
    <w:rsid w:val="003C2559"/>
    <w:rsid w:val="003C71A2"/>
    <w:rsid w:val="003D10C4"/>
    <w:rsid w:val="003D2937"/>
    <w:rsid w:val="003D3FA1"/>
    <w:rsid w:val="003D58B0"/>
    <w:rsid w:val="003E62E8"/>
    <w:rsid w:val="003E699C"/>
    <w:rsid w:val="003F3B0F"/>
    <w:rsid w:val="003F40BF"/>
    <w:rsid w:val="0040477A"/>
    <w:rsid w:val="00407E0B"/>
    <w:rsid w:val="004102B2"/>
    <w:rsid w:val="00410369"/>
    <w:rsid w:val="004148B9"/>
    <w:rsid w:val="00416DBB"/>
    <w:rsid w:val="00426F9C"/>
    <w:rsid w:val="004274B4"/>
    <w:rsid w:val="00431F1E"/>
    <w:rsid w:val="00445943"/>
    <w:rsid w:val="00450BED"/>
    <w:rsid w:val="00452079"/>
    <w:rsid w:val="00456045"/>
    <w:rsid w:val="0045706B"/>
    <w:rsid w:val="0045735E"/>
    <w:rsid w:val="004639F6"/>
    <w:rsid w:val="00473BB4"/>
    <w:rsid w:val="004760FE"/>
    <w:rsid w:val="004779FE"/>
    <w:rsid w:val="00480DD4"/>
    <w:rsid w:val="00483362"/>
    <w:rsid w:val="004913EF"/>
    <w:rsid w:val="00491EB9"/>
    <w:rsid w:val="00493E9E"/>
    <w:rsid w:val="004A35AE"/>
    <w:rsid w:val="004C5306"/>
    <w:rsid w:val="004E13D8"/>
    <w:rsid w:val="004E3CDD"/>
    <w:rsid w:val="004E6A19"/>
    <w:rsid w:val="004E6D51"/>
    <w:rsid w:val="00511CE6"/>
    <w:rsid w:val="00520173"/>
    <w:rsid w:val="0053342F"/>
    <w:rsid w:val="00534CBF"/>
    <w:rsid w:val="0053584F"/>
    <w:rsid w:val="00537EB3"/>
    <w:rsid w:val="00540A25"/>
    <w:rsid w:val="00540C51"/>
    <w:rsid w:val="00543962"/>
    <w:rsid w:val="00555314"/>
    <w:rsid w:val="00566D68"/>
    <w:rsid w:val="005722E0"/>
    <w:rsid w:val="0057703B"/>
    <w:rsid w:val="005812FA"/>
    <w:rsid w:val="005818AE"/>
    <w:rsid w:val="005819E8"/>
    <w:rsid w:val="00583CD2"/>
    <w:rsid w:val="0058518A"/>
    <w:rsid w:val="005856B2"/>
    <w:rsid w:val="0058613B"/>
    <w:rsid w:val="005A2039"/>
    <w:rsid w:val="005A4D04"/>
    <w:rsid w:val="005A5DB5"/>
    <w:rsid w:val="005A60E7"/>
    <w:rsid w:val="005A7998"/>
    <w:rsid w:val="005B0391"/>
    <w:rsid w:val="005B11E3"/>
    <w:rsid w:val="005C1A0D"/>
    <w:rsid w:val="005C389C"/>
    <w:rsid w:val="005C419B"/>
    <w:rsid w:val="005D44A7"/>
    <w:rsid w:val="005E747B"/>
    <w:rsid w:val="005F15C5"/>
    <w:rsid w:val="005F2DC2"/>
    <w:rsid w:val="005F4095"/>
    <w:rsid w:val="005F5F62"/>
    <w:rsid w:val="00612327"/>
    <w:rsid w:val="006236A7"/>
    <w:rsid w:val="00627BCA"/>
    <w:rsid w:val="0064016B"/>
    <w:rsid w:val="00640389"/>
    <w:rsid w:val="00643811"/>
    <w:rsid w:val="00647659"/>
    <w:rsid w:val="00651609"/>
    <w:rsid w:val="0065721D"/>
    <w:rsid w:val="00660169"/>
    <w:rsid w:val="0066071B"/>
    <w:rsid w:val="00667449"/>
    <w:rsid w:val="00670712"/>
    <w:rsid w:val="00672147"/>
    <w:rsid w:val="00674233"/>
    <w:rsid w:val="006753C1"/>
    <w:rsid w:val="00683359"/>
    <w:rsid w:val="00684E4B"/>
    <w:rsid w:val="00685D7C"/>
    <w:rsid w:val="00693B06"/>
    <w:rsid w:val="006A2733"/>
    <w:rsid w:val="006B3756"/>
    <w:rsid w:val="006B6119"/>
    <w:rsid w:val="006C4963"/>
    <w:rsid w:val="006C4F82"/>
    <w:rsid w:val="006C7D0E"/>
    <w:rsid w:val="006D0944"/>
    <w:rsid w:val="006D316E"/>
    <w:rsid w:val="006D36A8"/>
    <w:rsid w:val="006D447A"/>
    <w:rsid w:val="006E2E54"/>
    <w:rsid w:val="006E40E2"/>
    <w:rsid w:val="006E4ABA"/>
    <w:rsid w:val="006F25FD"/>
    <w:rsid w:val="006F7214"/>
    <w:rsid w:val="00700C32"/>
    <w:rsid w:val="0070116B"/>
    <w:rsid w:val="007029A8"/>
    <w:rsid w:val="00703A36"/>
    <w:rsid w:val="00703C94"/>
    <w:rsid w:val="007100F9"/>
    <w:rsid w:val="00710A60"/>
    <w:rsid w:val="00712084"/>
    <w:rsid w:val="007123A2"/>
    <w:rsid w:val="00720C57"/>
    <w:rsid w:val="00720E36"/>
    <w:rsid w:val="007224DE"/>
    <w:rsid w:val="00724BA9"/>
    <w:rsid w:val="00726FD0"/>
    <w:rsid w:val="00730D08"/>
    <w:rsid w:val="0073151E"/>
    <w:rsid w:val="00731B63"/>
    <w:rsid w:val="00732183"/>
    <w:rsid w:val="00734718"/>
    <w:rsid w:val="00737B0F"/>
    <w:rsid w:val="00737FBA"/>
    <w:rsid w:val="00750A48"/>
    <w:rsid w:val="007516EC"/>
    <w:rsid w:val="007526DE"/>
    <w:rsid w:val="00756EF6"/>
    <w:rsid w:val="00763C10"/>
    <w:rsid w:val="00764CD6"/>
    <w:rsid w:val="00767B8E"/>
    <w:rsid w:val="00770C77"/>
    <w:rsid w:val="007721DA"/>
    <w:rsid w:val="007728EA"/>
    <w:rsid w:val="00773247"/>
    <w:rsid w:val="00785602"/>
    <w:rsid w:val="007876D3"/>
    <w:rsid w:val="00790D86"/>
    <w:rsid w:val="00792C86"/>
    <w:rsid w:val="00795452"/>
    <w:rsid w:val="00796D9E"/>
    <w:rsid w:val="00797402"/>
    <w:rsid w:val="007A16D4"/>
    <w:rsid w:val="007A32A0"/>
    <w:rsid w:val="007B0308"/>
    <w:rsid w:val="007B0CC7"/>
    <w:rsid w:val="007B3DD9"/>
    <w:rsid w:val="007B5593"/>
    <w:rsid w:val="007B7659"/>
    <w:rsid w:val="007B7811"/>
    <w:rsid w:val="007C07EA"/>
    <w:rsid w:val="007C3A35"/>
    <w:rsid w:val="007D52F1"/>
    <w:rsid w:val="007D6ADF"/>
    <w:rsid w:val="007D742E"/>
    <w:rsid w:val="007E25A0"/>
    <w:rsid w:val="007E2FC8"/>
    <w:rsid w:val="007E6DCD"/>
    <w:rsid w:val="007E7DF7"/>
    <w:rsid w:val="007F507E"/>
    <w:rsid w:val="007F5189"/>
    <w:rsid w:val="007F7768"/>
    <w:rsid w:val="007F79F7"/>
    <w:rsid w:val="00803746"/>
    <w:rsid w:val="00804859"/>
    <w:rsid w:val="00805DEA"/>
    <w:rsid w:val="00806330"/>
    <w:rsid w:val="00806A58"/>
    <w:rsid w:val="00816572"/>
    <w:rsid w:val="00816A00"/>
    <w:rsid w:val="008179CA"/>
    <w:rsid w:val="008203C2"/>
    <w:rsid w:val="0082337C"/>
    <w:rsid w:val="00827C4F"/>
    <w:rsid w:val="008333DD"/>
    <w:rsid w:val="00835036"/>
    <w:rsid w:val="008436FB"/>
    <w:rsid w:val="008526EE"/>
    <w:rsid w:val="0085359A"/>
    <w:rsid w:val="008625EC"/>
    <w:rsid w:val="0086407E"/>
    <w:rsid w:val="0086493D"/>
    <w:rsid w:val="008666E1"/>
    <w:rsid w:val="00867AF8"/>
    <w:rsid w:val="00867D33"/>
    <w:rsid w:val="008753F1"/>
    <w:rsid w:val="00876FA9"/>
    <w:rsid w:val="00877BD4"/>
    <w:rsid w:val="00892C10"/>
    <w:rsid w:val="00894D10"/>
    <w:rsid w:val="00895EA4"/>
    <w:rsid w:val="008A1BD4"/>
    <w:rsid w:val="008A6328"/>
    <w:rsid w:val="008A7802"/>
    <w:rsid w:val="008B00FF"/>
    <w:rsid w:val="008B4CB1"/>
    <w:rsid w:val="008B6450"/>
    <w:rsid w:val="008C0AD9"/>
    <w:rsid w:val="008C53AB"/>
    <w:rsid w:val="008C5B45"/>
    <w:rsid w:val="008D0FD4"/>
    <w:rsid w:val="008D114A"/>
    <w:rsid w:val="008D1A0D"/>
    <w:rsid w:val="008D5019"/>
    <w:rsid w:val="008E0C5D"/>
    <w:rsid w:val="008E14AA"/>
    <w:rsid w:val="008E367A"/>
    <w:rsid w:val="008E591C"/>
    <w:rsid w:val="008F45B7"/>
    <w:rsid w:val="008F62F5"/>
    <w:rsid w:val="008F772E"/>
    <w:rsid w:val="0090191D"/>
    <w:rsid w:val="009035F9"/>
    <w:rsid w:val="009053EA"/>
    <w:rsid w:val="00906E32"/>
    <w:rsid w:val="00906EFA"/>
    <w:rsid w:val="0090765B"/>
    <w:rsid w:val="0091312A"/>
    <w:rsid w:val="00924D08"/>
    <w:rsid w:val="0094350C"/>
    <w:rsid w:val="00946D3F"/>
    <w:rsid w:val="00951561"/>
    <w:rsid w:val="00952B70"/>
    <w:rsid w:val="00953322"/>
    <w:rsid w:val="0096051F"/>
    <w:rsid w:val="00961D4A"/>
    <w:rsid w:val="009724A7"/>
    <w:rsid w:val="00972D5E"/>
    <w:rsid w:val="009731E4"/>
    <w:rsid w:val="00980CA4"/>
    <w:rsid w:val="0098229D"/>
    <w:rsid w:val="009867C2"/>
    <w:rsid w:val="00987807"/>
    <w:rsid w:val="009961AA"/>
    <w:rsid w:val="009A066F"/>
    <w:rsid w:val="009A24F7"/>
    <w:rsid w:val="009A67F3"/>
    <w:rsid w:val="009B1E78"/>
    <w:rsid w:val="009B5AA1"/>
    <w:rsid w:val="009C1A34"/>
    <w:rsid w:val="009C3461"/>
    <w:rsid w:val="009C353D"/>
    <w:rsid w:val="009C414A"/>
    <w:rsid w:val="009C6BDA"/>
    <w:rsid w:val="009C72AE"/>
    <w:rsid w:val="009D37B7"/>
    <w:rsid w:val="009E06DC"/>
    <w:rsid w:val="009E14CE"/>
    <w:rsid w:val="009E3EBD"/>
    <w:rsid w:val="009E60EE"/>
    <w:rsid w:val="009F2B6B"/>
    <w:rsid w:val="009F59CF"/>
    <w:rsid w:val="00A02F59"/>
    <w:rsid w:val="00A0326A"/>
    <w:rsid w:val="00A04413"/>
    <w:rsid w:val="00A107D5"/>
    <w:rsid w:val="00A23602"/>
    <w:rsid w:val="00A25F6D"/>
    <w:rsid w:val="00A33E1A"/>
    <w:rsid w:val="00A35318"/>
    <w:rsid w:val="00A36458"/>
    <w:rsid w:val="00A410BC"/>
    <w:rsid w:val="00A44995"/>
    <w:rsid w:val="00A47C6F"/>
    <w:rsid w:val="00A515CB"/>
    <w:rsid w:val="00A51F14"/>
    <w:rsid w:val="00A52232"/>
    <w:rsid w:val="00A555CD"/>
    <w:rsid w:val="00A626CE"/>
    <w:rsid w:val="00A6324E"/>
    <w:rsid w:val="00A64B7F"/>
    <w:rsid w:val="00A6550F"/>
    <w:rsid w:val="00A65F15"/>
    <w:rsid w:val="00A717DE"/>
    <w:rsid w:val="00A765FA"/>
    <w:rsid w:val="00A806F2"/>
    <w:rsid w:val="00A816C7"/>
    <w:rsid w:val="00A87570"/>
    <w:rsid w:val="00A906C6"/>
    <w:rsid w:val="00A92817"/>
    <w:rsid w:val="00A944C8"/>
    <w:rsid w:val="00AA0975"/>
    <w:rsid w:val="00AA0B5E"/>
    <w:rsid w:val="00AA132E"/>
    <w:rsid w:val="00AA2D23"/>
    <w:rsid w:val="00AA41EF"/>
    <w:rsid w:val="00AA6117"/>
    <w:rsid w:val="00AA67C0"/>
    <w:rsid w:val="00AC3E12"/>
    <w:rsid w:val="00AC698A"/>
    <w:rsid w:val="00AC726A"/>
    <w:rsid w:val="00AC7DA4"/>
    <w:rsid w:val="00AD23A9"/>
    <w:rsid w:val="00AD6D6C"/>
    <w:rsid w:val="00AD7C56"/>
    <w:rsid w:val="00AE6B46"/>
    <w:rsid w:val="00B033FB"/>
    <w:rsid w:val="00B041BF"/>
    <w:rsid w:val="00B1524E"/>
    <w:rsid w:val="00B254D9"/>
    <w:rsid w:val="00B27A6E"/>
    <w:rsid w:val="00B3759E"/>
    <w:rsid w:val="00B378D5"/>
    <w:rsid w:val="00B4049D"/>
    <w:rsid w:val="00B47C7A"/>
    <w:rsid w:val="00B56D42"/>
    <w:rsid w:val="00B56D59"/>
    <w:rsid w:val="00B64EB0"/>
    <w:rsid w:val="00B722DF"/>
    <w:rsid w:val="00B777C1"/>
    <w:rsid w:val="00B82392"/>
    <w:rsid w:val="00B82871"/>
    <w:rsid w:val="00B900E5"/>
    <w:rsid w:val="00B906D5"/>
    <w:rsid w:val="00BA2513"/>
    <w:rsid w:val="00BA6085"/>
    <w:rsid w:val="00BB4C95"/>
    <w:rsid w:val="00BB50FC"/>
    <w:rsid w:val="00BC1BDD"/>
    <w:rsid w:val="00BC3E09"/>
    <w:rsid w:val="00BD2914"/>
    <w:rsid w:val="00BD3A63"/>
    <w:rsid w:val="00BD3F68"/>
    <w:rsid w:val="00BD51F7"/>
    <w:rsid w:val="00BD5BD6"/>
    <w:rsid w:val="00BD669A"/>
    <w:rsid w:val="00BD6C56"/>
    <w:rsid w:val="00BE342B"/>
    <w:rsid w:val="00BE3B4F"/>
    <w:rsid w:val="00C01697"/>
    <w:rsid w:val="00C027B1"/>
    <w:rsid w:val="00C044F7"/>
    <w:rsid w:val="00C05A94"/>
    <w:rsid w:val="00C078CF"/>
    <w:rsid w:val="00C12822"/>
    <w:rsid w:val="00C15000"/>
    <w:rsid w:val="00C20EC1"/>
    <w:rsid w:val="00C22FF1"/>
    <w:rsid w:val="00C2344D"/>
    <w:rsid w:val="00C24634"/>
    <w:rsid w:val="00C310F3"/>
    <w:rsid w:val="00C3547C"/>
    <w:rsid w:val="00C416A6"/>
    <w:rsid w:val="00C53C2C"/>
    <w:rsid w:val="00C5599D"/>
    <w:rsid w:val="00C560F5"/>
    <w:rsid w:val="00C572DA"/>
    <w:rsid w:val="00C57B21"/>
    <w:rsid w:val="00C6319B"/>
    <w:rsid w:val="00C65C1B"/>
    <w:rsid w:val="00C67250"/>
    <w:rsid w:val="00C719C3"/>
    <w:rsid w:val="00C71E48"/>
    <w:rsid w:val="00C72E77"/>
    <w:rsid w:val="00C73EC4"/>
    <w:rsid w:val="00C849B5"/>
    <w:rsid w:val="00C91332"/>
    <w:rsid w:val="00C9176E"/>
    <w:rsid w:val="00C92FE4"/>
    <w:rsid w:val="00C930C5"/>
    <w:rsid w:val="00C93248"/>
    <w:rsid w:val="00C95B04"/>
    <w:rsid w:val="00CA3C3A"/>
    <w:rsid w:val="00CA79A9"/>
    <w:rsid w:val="00CC6971"/>
    <w:rsid w:val="00CD13CD"/>
    <w:rsid w:val="00CD53DB"/>
    <w:rsid w:val="00CE050C"/>
    <w:rsid w:val="00CE2BF9"/>
    <w:rsid w:val="00CE3C32"/>
    <w:rsid w:val="00CE43F5"/>
    <w:rsid w:val="00CE5D93"/>
    <w:rsid w:val="00CE633C"/>
    <w:rsid w:val="00CF0590"/>
    <w:rsid w:val="00CF0BF4"/>
    <w:rsid w:val="00CF280A"/>
    <w:rsid w:val="00CF3895"/>
    <w:rsid w:val="00CF3957"/>
    <w:rsid w:val="00CF7602"/>
    <w:rsid w:val="00D02669"/>
    <w:rsid w:val="00D03E26"/>
    <w:rsid w:val="00D05E45"/>
    <w:rsid w:val="00D105BD"/>
    <w:rsid w:val="00D13E5E"/>
    <w:rsid w:val="00D16BAB"/>
    <w:rsid w:val="00D17B77"/>
    <w:rsid w:val="00D2402E"/>
    <w:rsid w:val="00D2557B"/>
    <w:rsid w:val="00D30886"/>
    <w:rsid w:val="00D34024"/>
    <w:rsid w:val="00D376B5"/>
    <w:rsid w:val="00D3797A"/>
    <w:rsid w:val="00D41EA2"/>
    <w:rsid w:val="00D41EDD"/>
    <w:rsid w:val="00D4708E"/>
    <w:rsid w:val="00D51164"/>
    <w:rsid w:val="00D5500E"/>
    <w:rsid w:val="00D57707"/>
    <w:rsid w:val="00D61659"/>
    <w:rsid w:val="00D61913"/>
    <w:rsid w:val="00D675A4"/>
    <w:rsid w:val="00D67B61"/>
    <w:rsid w:val="00D708EF"/>
    <w:rsid w:val="00D73781"/>
    <w:rsid w:val="00DA36EB"/>
    <w:rsid w:val="00DA5269"/>
    <w:rsid w:val="00DA65DB"/>
    <w:rsid w:val="00DB0B93"/>
    <w:rsid w:val="00DB24E9"/>
    <w:rsid w:val="00DB294E"/>
    <w:rsid w:val="00DB6744"/>
    <w:rsid w:val="00DC0A39"/>
    <w:rsid w:val="00DD6945"/>
    <w:rsid w:val="00DE0614"/>
    <w:rsid w:val="00DE50D1"/>
    <w:rsid w:val="00DF2780"/>
    <w:rsid w:val="00DF34B6"/>
    <w:rsid w:val="00DF4F29"/>
    <w:rsid w:val="00DF5A3A"/>
    <w:rsid w:val="00E051D7"/>
    <w:rsid w:val="00E10B0B"/>
    <w:rsid w:val="00E10CED"/>
    <w:rsid w:val="00E129A3"/>
    <w:rsid w:val="00E24E91"/>
    <w:rsid w:val="00E27AC7"/>
    <w:rsid w:val="00E3037A"/>
    <w:rsid w:val="00E31471"/>
    <w:rsid w:val="00E35B38"/>
    <w:rsid w:val="00E3654C"/>
    <w:rsid w:val="00E42F35"/>
    <w:rsid w:val="00E44161"/>
    <w:rsid w:val="00E464B8"/>
    <w:rsid w:val="00E47B2C"/>
    <w:rsid w:val="00E47ECE"/>
    <w:rsid w:val="00E5498B"/>
    <w:rsid w:val="00E553C0"/>
    <w:rsid w:val="00E56267"/>
    <w:rsid w:val="00E605C7"/>
    <w:rsid w:val="00E625EC"/>
    <w:rsid w:val="00E73041"/>
    <w:rsid w:val="00E734DC"/>
    <w:rsid w:val="00E745B7"/>
    <w:rsid w:val="00E752FD"/>
    <w:rsid w:val="00E805F6"/>
    <w:rsid w:val="00E848FE"/>
    <w:rsid w:val="00E9378C"/>
    <w:rsid w:val="00E9614C"/>
    <w:rsid w:val="00EA0F85"/>
    <w:rsid w:val="00EA12FB"/>
    <w:rsid w:val="00EA2AD0"/>
    <w:rsid w:val="00EB1DB1"/>
    <w:rsid w:val="00EB336E"/>
    <w:rsid w:val="00EB5762"/>
    <w:rsid w:val="00EC67B8"/>
    <w:rsid w:val="00ED0459"/>
    <w:rsid w:val="00ED380F"/>
    <w:rsid w:val="00EE0B3D"/>
    <w:rsid w:val="00EF00A9"/>
    <w:rsid w:val="00F05D6B"/>
    <w:rsid w:val="00F05E0E"/>
    <w:rsid w:val="00F101F9"/>
    <w:rsid w:val="00F1138C"/>
    <w:rsid w:val="00F22AD9"/>
    <w:rsid w:val="00F262A5"/>
    <w:rsid w:val="00F3319D"/>
    <w:rsid w:val="00F33800"/>
    <w:rsid w:val="00F339F5"/>
    <w:rsid w:val="00F34825"/>
    <w:rsid w:val="00F34AF8"/>
    <w:rsid w:val="00F50944"/>
    <w:rsid w:val="00F52FBA"/>
    <w:rsid w:val="00F54A79"/>
    <w:rsid w:val="00F576F4"/>
    <w:rsid w:val="00F578FE"/>
    <w:rsid w:val="00F604E6"/>
    <w:rsid w:val="00F62407"/>
    <w:rsid w:val="00F646CA"/>
    <w:rsid w:val="00F83DC9"/>
    <w:rsid w:val="00F862E6"/>
    <w:rsid w:val="00F91F84"/>
    <w:rsid w:val="00F94A63"/>
    <w:rsid w:val="00F97D62"/>
    <w:rsid w:val="00FA13B0"/>
    <w:rsid w:val="00FA1D93"/>
    <w:rsid w:val="00FA1ECB"/>
    <w:rsid w:val="00FC1605"/>
    <w:rsid w:val="00FD24B0"/>
    <w:rsid w:val="00FE25F2"/>
    <w:rsid w:val="00FE273C"/>
    <w:rsid w:val="00FE65B1"/>
    <w:rsid w:val="00FF5A5E"/>
    <w:rsid w:val="00FF783A"/>
    <w:rsid w:val="0EE044A7"/>
    <w:rsid w:val="0F21423E"/>
    <w:rsid w:val="107D703C"/>
    <w:rsid w:val="18116454"/>
    <w:rsid w:val="2D2E0E07"/>
    <w:rsid w:val="34A162EC"/>
    <w:rsid w:val="36CF20FA"/>
    <w:rsid w:val="36DA7FA5"/>
    <w:rsid w:val="45F22EE5"/>
    <w:rsid w:val="4F631281"/>
    <w:rsid w:val="61BE4857"/>
    <w:rsid w:val="638A0625"/>
    <w:rsid w:val="67962B20"/>
    <w:rsid w:val="6DA53B94"/>
    <w:rsid w:val="6ED87C60"/>
    <w:rsid w:val="765D339C"/>
    <w:rsid w:val="79EA726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unhideWhenUsed/>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12"/>
    <w:unhideWhenUsed/>
    <w:qFormat/>
    <w:uiPriority w:val="99"/>
    <w:rPr>
      <w:sz w:val="18"/>
      <w:szCs w:val="18"/>
    </w:rPr>
  </w:style>
  <w:style w:type="paragraph" w:styleId="3">
    <w:name w:val="footer"/>
    <w:basedOn w:val="1"/>
    <w:link w:val="11"/>
    <w:qFormat/>
    <w:uiPriority w:val="0"/>
    <w:pPr>
      <w:tabs>
        <w:tab w:val="center" w:pos="4153"/>
        <w:tab w:val="right" w:pos="8306"/>
      </w:tabs>
      <w:snapToGrid w:val="0"/>
      <w:jc w:val="left"/>
    </w:pPr>
    <w:rPr>
      <w:sz w:val="18"/>
    </w:rPr>
  </w:style>
  <w:style w:type="paragraph" w:styleId="4">
    <w:name w:val="header"/>
    <w:basedOn w:val="1"/>
    <w:link w:val="1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8">
    <w:name w:val="page number"/>
    <w:basedOn w:val="7"/>
    <w:unhideWhenUsed/>
    <w:qFormat/>
    <w:uiPriority w:val="99"/>
  </w:style>
  <w:style w:type="paragraph" w:customStyle="1" w:styleId="9">
    <w:name w:val="p0"/>
    <w:basedOn w:val="1"/>
    <w:qFormat/>
    <w:uiPriority w:val="0"/>
    <w:pPr>
      <w:widowControl/>
    </w:pPr>
    <w:rPr>
      <w:kern w:val="0"/>
      <w:szCs w:val="21"/>
    </w:rPr>
  </w:style>
  <w:style w:type="character" w:customStyle="1" w:styleId="10">
    <w:name w:val="页眉 Char"/>
    <w:basedOn w:val="7"/>
    <w:link w:val="4"/>
    <w:qFormat/>
    <w:uiPriority w:val="0"/>
    <w:rPr>
      <w:rFonts w:ascii="Times New Roman" w:hAnsi="Times New Roman" w:eastAsia="宋体" w:cs="Times New Roman"/>
      <w:sz w:val="18"/>
      <w:szCs w:val="20"/>
    </w:rPr>
  </w:style>
  <w:style w:type="character" w:customStyle="1" w:styleId="11">
    <w:name w:val="页脚 Char"/>
    <w:basedOn w:val="7"/>
    <w:link w:val="3"/>
    <w:qFormat/>
    <w:uiPriority w:val="0"/>
    <w:rPr>
      <w:rFonts w:ascii="Times New Roman" w:hAnsi="Times New Roman" w:eastAsia="宋体" w:cs="Times New Roman"/>
      <w:sz w:val="18"/>
      <w:szCs w:val="20"/>
    </w:rPr>
  </w:style>
  <w:style w:type="character" w:customStyle="1" w:styleId="12">
    <w:name w:val="批注框文本 Char"/>
    <w:basedOn w:val="7"/>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8.png"/><Relationship Id="rId16" Type="http://schemas.openxmlformats.org/officeDocument/2006/relationships/image" Target="media/image7.emf"/><Relationship Id="rId15" Type="http://schemas.openxmlformats.org/officeDocument/2006/relationships/image" Target="media/image6.emf"/><Relationship Id="rId14" Type="http://schemas.openxmlformats.org/officeDocument/2006/relationships/image" Target="media/image5.emf"/><Relationship Id="rId13" Type="http://schemas.openxmlformats.org/officeDocument/2006/relationships/image" Target="media/image4.emf"/><Relationship Id="rId12" Type="http://schemas.openxmlformats.org/officeDocument/2006/relationships/image" Target="media/image3.emf"/><Relationship Id="rId11" Type="http://schemas.openxmlformats.org/officeDocument/2006/relationships/image" Target="media/image2.emf"/><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517</Words>
  <Characters>2952</Characters>
  <Lines>24</Lines>
  <Paragraphs>6</Paragraphs>
  <TotalTime>35</TotalTime>
  <ScaleCrop>false</ScaleCrop>
  <LinksUpToDate>false</LinksUpToDate>
  <CharactersWithSpaces>3463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2018-08-15T02:14:00Z</dcterms:created>
  <dc:creator>lenovo</dc:creator>
  <cp:lastModifiedBy>Administrator</cp:lastModifiedBy>
  <cp:lastPrinted>2020-09-29T01:08:00Z</cp:lastPrinted>
  <dcterms:modified xsi:type="dcterms:W3CDTF">2021-04-30T00:12:32Z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FEAAFF41477B4C01916CF057C71184A9</vt:lpwstr>
  </property>
</Properties>
</file>