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75"/>
        <w:gridCol w:w="786"/>
        <w:gridCol w:w="964"/>
        <w:gridCol w:w="1273"/>
        <w:gridCol w:w="3022"/>
        <w:gridCol w:w="908"/>
        <w:gridCol w:w="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8336" w:type="dxa"/>
            <w:gridSpan w:val="7"/>
            <w:tcBorders>
              <w:bottom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b/>
                <w:i w:val="0"/>
                <w:color w:val="000000"/>
                <w:kern w:val="0"/>
                <w:sz w:val="32"/>
                <w:szCs w:val="32"/>
                <w:u w:val="none"/>
                <w:lang w:val="en-US" w:eastAsia="zh-CN" w:bidi="ar"/>
              </w:rPr>
            </w:pPr>
            <w:r>
              <w:rPr>
                <w:rFonts w:hint="eastAsia" w:ascii="黑体" w:hAnsi="宋体" w:eastAsia="黑体" w:cs="黑体"/>
                <w:b/>
                <w:i w:val="0"/>
                <w:color w:val="000000"/>
                <w:kern w:val="0"/>
                <w:sz w:val="32"/>
                <w:szCs w:val="32"/>
                <w:u w:val="none"/>
                <w:lang w:val="en-US" w:eastAsia="zh-CN" w:bidi="ar"/>
              </w:rPr>
              <w:t>大余县粮食流通服务中心2019年度</w:t>
            </w:r>
          </w:p>
          <w:p>
            <w:pPr>
              <w:keepNext w:val="0"/>
              <w:keepLines w:val="0"/>
              <w:widowControl/>
              <w:suppressLineNumbers w:val="0"/>
              <w:jc w:val="center"/>
              <w:textAlignment w:val="center"/>
              <w:rPr>
                <w:rFonts w:ascii="黑体" w:hAnsi="宋体" w:eastAsia="黑体" w:cs="黑体"/>
                <w:b/>
                <w:i w:val="0"/>
                <w:color w:val="000000"/>
                <w:sz w:val="32"/>
                <w:szCs w:val="32"/>
                <w:u w:val="none"/>
              </w:rPr>
            </w:pPr>
            <w:r>
              <w:rPr>
                <w:rFonts w:hint="eastAsia" w:ascii="黑体" w:hAnsi="宋体" w:eastAsia="黑体" w:cs="黑体"/>
                <w:b/>
                <w:i w:val="0"/>
                <w:color w:val="000000"/>
                <w:kern w:val="0"/>
                <w:sz w:val="32"/>
                <w:szCs w:val="32"/>
                <w:u w:val="none"/>
                <w:lang w:val="en-US" w:eastAsia="zh-CN" w:bidi="ar"/>
              </w:rPr>
              <w:t>部门整体支出绩效评价指标体系评分表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一级指标</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二级指标</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三级指标</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四级指标</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评分标准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评分依据及简要说明</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00" w:hRule="atLeast"/>
        </w:trPr>
        <w:tc>
          <w:tcPr>
            <w:tcW w:w="67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履职效能（35分）</w:t>
            </w: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工作目标（5分）</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目标设定（4分）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目标依据充分性（2分）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已依据法律法规设定，符合部门三定方案确定职责，符合部门年度工作计划，具有科学性及前瞻性</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工作目标合理性（2分）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①是否符合客观实际是否可实现、可完成；②是否将部门整体的工作目标细化分解，使其为可衡量、可比较。每项达到目标值得1分。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符合客观实际，目标分解不够细化-0.5</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3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目标管理（1分）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目标管理有效性（1分）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①是否有对目标进行责任分解的相关工作机制；②目标管理工作机制是否科学、合理，是否能有效保障目标执行和落地。每项达到目标值得0.5分。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制定目标责任分解工作机制</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整体工作（15分）</w:t>
            </w:r>
          </w:p>
        </w:tc>
        <w:tc>
          <w:tcPr>
            <w:tcW w:w="964"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整体工作完成（15分）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总体工作完成率（15分）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总体工作完成率=单位年度工作要点已完成的数量/单位年度工作要点工作总数量；得分=指标实际完成值×15。</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总体工作完成良好</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重点工作（15分）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整体工作完成（15分）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总体工作完成率（15分）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总体工作完成率=单位重点工作已完成的数量/单位年度重点工作总数量；得分=指标实际完成值×15。</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重点工作完成良好，完成率95%</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15" w:hRule="atLeast"/>
        </w:trPr>
        <w:tc>
          <w:tcPr>
            <w:tcW w:w="67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管理效率（52分）</w:t>
            </w: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预算管理（25分）</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预算编制（6分）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预算编制完整性（4分）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公经费预算编制只减不增。每项达到目标值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预算编制完整，支出预算科学，按人员经费按标准、日常经费定额、专项经费按项目编制，编制了采购预算、三公经费较上年减少</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7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预算科目设置合理性（2分）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①功能科目编制是否科学合理，编制到“项”；②经济科目的编制是否科学合理，编排至“款”。每项达到目标值得1分。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功能科目和经济科目编制科学合理，编制到项，编排至款</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9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预算执行（16分）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预算执行率（12分）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预算执行率=（预算执行数/预算数）×100%。得分=指标实际完成值×12。其中，预算执行数指部门本年度实际执行的预算数；预算数指财政部门批复的本年度部门的预算数。</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default" w:ascii="等线" w:hAnsi="等线" w:eastAsia="等线" w:cs="等线"/>
                <w:i w:val="0"/>
                <w:color w:val="000000"/>
                <w:sz w:val="20"/>
                <w:szCs w:val="20"/>
                <w:u w:val="none"/>
              </w:rPr>
              <w:t>预算执行率为</w:t>
            </w:r>
            <w:r>
              <w:rPr>
                <w:rFonts w:hint="eastAsia" w:ascii="等线" w:hAnsi="等线" w:eastAsia="等线" w:cs="等线"/>
                <w:i w:val="0"/>
                <w:color w:val="000000"/>
                <w:sz w:val="20"/>
                <w:szCs w:val="20"/>
                <w:u w:val="none"/>
                <w:lang w:val="en-US" w:eastAsia="zh-CN"/>
              </w:rPr>
              <w:t>772.57</w:t>
            </w:r>
            <w:r>
              <w:rPr>
                <w:rFonts w:hint="default" w:ascii="等线" w:hAnsi="等线" w:eastAsia="等线" w:cs="等线"/>
                <w:i w:val="0"/>
                <w:color w:val="000000"/>
                <w:sz w:val="20"/>
                <w:szCs w:val="20"/>
                <w:u w:val="none"/>
              </w:rPr>
              <w:t>/</w:t>
            </w:r>
            <w:r>
              <w:rPr>
                <w:rFonts w:hint="eastAsia" w:ascii="等线" w:hAnsi="等线" w:eastAsia="等线" w:cs="等线"/>
                <w:i w:val="0"/>
                <w:color w:val="000000"/>
                <w:sz w:val="20"/>
                <w:szCs w:val="20"/>
                <w:u w:val="none"/>
                <w:lang w:val="en-US" w:eastAsia="zh-CN"/>
              </w:rPr>
              <w:t>806.95</w:t>
            </w:r>
            <w:r>
              <w:rPr>
                <w:rFonts w:hint="default" w:ascii="等线" w:hAnsi="等线" w:eastAsia="等线" w:cs="等线"/>
                <w:i w:val="0"/>
                <w:color w:val="000000"/>
                <w:sz w:val="20"/>
                <w:szCs w:val="20"/>
                <w:u w:val="none"/>
              </w:rPr>
              <w:t>*100%=</w:t>
            </w:r>
            <w:r>
              <w:rPr>
                <w:rFonts w:hint="eastAsia" w:ascii="等线" w:hAnsi="等线" w:eastAsia="等线" w:cs="等线"/>
                <w:i w:val="0"/>
                <w:color w:val="000000"/>
                <w:sz w:val="20"/>
                <w:szCs w:val="20"/>
                <w:u w:val="none"/>
                <w:lang w:val="en-US" w:eastAsia="zh-CN"/>
              </w:rPr>
              <w:t>88%</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4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预算调整率（2分）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lang w:val="en-US"/>
              </w:rPr>
            </w:pPr>
            <w:r>
              <w:rPr>
                <w:rFonts w:hint="default" w:ascii="等线" w:hAnsi="等线" w:eastAsia="等线" w:cs="等线"/>
                <w:i w:val="0"/>
                <w:color w:val="000000"/>
                <w:kern w:val="0"/>
                <w:sz w:val="20"/>
                <w:szCs w:val="20"/>
                <w:u w:val="none"/>
                <w:lang w:val="en-US" w:eastAsia="zh-CN" w:bidi="ar"/>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结转结余变动率（2分）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结转结余变动率=[（本年度累计结转结余资金总额-上年度累计结转结余资金总额）/上年度累计结转结余资金总额]×100%；比率小于等于0，得2分；比率大于0，得0分。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1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部门决算（1分）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部门决算编报质量（1分）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①是否按照相关编审要求报送；②部门决算编报的单位范围和资金范围是否符合相关要求。每项达到目标值得0.5分。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部门决算按要求编报编审</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预算改革（2分）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三年滚动财政规划（1分）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按文件规定编制了本部门（单位）中期财政规划得1分。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未编制</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政府部门财务报告（1分）</w:t>
            </w:r>
          </w:p>
        </w:tc>
        <w:tc>
          <w:tcPr>
            <w:tcW w:w="3022"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按文件规定编制了政府部门财务报告得1分。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kern w:val="2"/>
                <w:sz w:val="20"/>
                <w:szCs w:val="20"/>
                <w:u w:val="none"/>
                <w:lang w:val="en-US" w:eastAsia="zh-CN" w:bidi="ar-SA"/>
              </w:rPr>
            </w:pPr>
            <w:r>
              <w:rPr>
                <w:rFonts w:hint="default" w:ascii="等线" w:hAnsi="等线" w:eastAsia="等线" w:cs="等线"/>
                <w:i w:val="0"/>
                <w:color w:val="000000"/>
                <w:sz w:val="20"/>
                <w:szCs w:val="20"/>
                <w:u w:val="none"/>
              </w:rPr>
              <w:t>编制财务报告</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收支管理（5分）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收入管理（2分）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收入管理规范性（2分）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财政拨款收入、事业收入、上级补助收入、下属单位上缴收入、经营收入及其他收入管理是否符合财务规定。达到目标值得2分。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kern w:val="2"/>
                <w:sz w:val="20"/>
                <w:szCs w:val="20"/>
                <w:u w:val="none"/>
                <w:lang w:val="en-US" w:eastAsia="zh-CN" w:bidi="ar-SA"/>
              </w:rPr>
            </w:pPr>
            <w:r>
              <w:rPr>
                <w:rFonts w:hint="default" w:ascii="等线" w:hAnsi="等线" w:eastAsia="等线" w:cs="等线"/>
                <w:i w:val="0"/>
                <w:color w:val="000000"/>
                <w:sz w:val="20"/>
                <w:szCs w:val="20"/>
                <w:u w:val="none"/>
              </w:rPr>
              <w:t>收入符合财务规定</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支出管理（3分）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支出管理规范性（2分）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基本支出和项目支出是否符合财务规定及相关制度办法的有关规定。达到目标值得2分。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kern w:val="2"/>
                <w:sz w:val="20"/>
                <w:szCs w:val="20"/>
                <w:u w:val="none"/>
                <w:lang w:val="en-US" w:eastAsia="zh-CN" w:bidi="ar-SA"/>
              </w:rPr>
            </w:pPr>
            <w:r>
              <w:rPr>
                <w:rFonts w:hint="default" w:ascii="等线" w:hAnsi="等线" w:eastAsia="等线" w:cs="等线"/>
                <w:i w:val="0"/>
                <w:color w:val="000000"/>
                <w:sz w:val="20"/>
                <w:szCs w:val="20"/>
                <w:u w:val="none"/>
              </w:rPr>
              <w:t>支出符合财务规定</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3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重点支出结构合理性（1分）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重点项目支出是否合理（重点支出保障率=（重点项目支出/项目总支出）×100%）；得分=指标实际完成值×1。</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kern w:val="2"/>
                <w:sz w:val="20"/>
                <w:szCs w:val="20"/>
                <w:u w:val="none"/>
                <w:lang w:val="en-US" w:eastAsia="zh-CN" w:bidi="ar-SA"/>
              </w:rPr>
            </w:pPr>
            <w:r>
              <w:rPr>
                <w:rFonts w:hint="default" w:ascii="等线" w:hAnsi="等线" w:eastAsia="等线" w:cs="等线"/>
                <w:i w:val="0"/>
                <w:color w:val="000000"/>
                <w:sz w:val="20"/>
                <w:szCs w:val="20"/>
                <w:u w:val="none"/>
              </w:rPr>
              <w:t>重点项目支出合理</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00" w:hRule="atLeast"/>
        </w:trPr>
        <w:tc>
          <w:tcPr>
            <w:tcW w:w="67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管理效率（52分）</w:t>
            </w: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财务管理（6分）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制度完备（1.5分）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财务管理制度的完备性（1.5分）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kern w:val="2"/>
                <w:sz w:val="20"/>
                <w:szCs w:val="20"/>
                <w:u w:val="none"/>
                <w:lang w:val="en-US" w:eastAsia="zh-CN" w:bidi="ar-SA"/>
              </w:rPr>
            </w:pPr>
            <w:r>
              <w:rPr>
                <w:rFonts w:hint="default" w:ascii="等线" w:hAnsi="等线" w:eastAsia="等线" w:cs="等线"/>
                <w:i w:val="0"/>
                <w:color w:val="000000"/>
                <w:sz w:val="20"/>
                <w:szCs w:val="20"/>
                <w:u w:val="none"/>
              </w:rPr>
              <w:t>资金拨付和使用审批程序和手续完整，财务核算符合规定，基础数据信息完整</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采购管理（2分）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政府采购执行率（2分）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政府采购执行率=（实际政府采购金额/政府采购预算数）×100%；得分=指标实际完成值×2。</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eastAsia="zh-CN"/>
              </w:rPr>
            </w:pPr>
            <w:r>
              <w:rPr>
                <w:rFonts w:hint="eastAsia" w:ascii="等线" w:hAnsi="等线" w:eastAsia="等线" w:cs="等线"/>
                <w:i w:val="0"/>
                <w:color w:val="000000"/>
                <w:sz w:val="20"/>
                <w:szCs w:val="20"/>
                <w:u w:val="none"/>
                <w:lang w:eastAsia="zh-CN"/>
              </w:rPr>
              <w:t>无采购</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2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内部控制（2.5分）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内控制度有效性（2.5分）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建立健全预算管理制度、收支业务制度、采购制度、资产管理制度</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1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资产管理（4分）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规范管理（2分）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资产管理规范性（2分）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资产保存完整，没有因管理不当发生严重资产损失，不存在超标准配置资产，资产使用规范，不存在擅自出租出借，不存在不按要求报批及不公开处置行为</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有效使用（2分）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部门固定资产利用率（2分）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部门固定资产利用率=（部门实际在用固定资产总额/部门所有固定资产总额）×100%；得分=指标实际完成值×2。</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eastAsia="zh-CN"/>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成本控制（12分）</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机构运转成本调控（12分）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一般性支出变动率（5分）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一般性支出变动率=[（本年度一般性支出-上年度一般性支出） /本年度一般性支出]×100%；比率小于等于0，得5分；比率大于0，得0分。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人均公用经费变动率（3分）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人均公用经费变动率=[（本年度人均公用经费-上年度人均公用经费） /上年度人均公用经费]×100%；比率小于等于0，得3分；比率大于0，得0分。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1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“三公经费”变动率（4分）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“三公经费”变动率=[（本年度“三公经费”总额-上年度“三公经费”总额） /上年度“三公经费”总额]×100%；比率小于等于0，得4分；比率大于0，得0分。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67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服务满意（8分）</w:t>
            </w:r>
          </w:p>
        </w:tc>
        <w:tc>
          <w:tcPr>
            <w:tcW w:w="78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服务对象满意</w:t>
            </w:r>
          </w:p>
        </w:tc>
        <w:tc>
          <w:tcPr>
            <w:tcW w:w="964" w:type="dxa"/>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利益相关方满意</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 xml:space="preserve">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可持续性（5分）</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10" w:hRule="atLeast"/>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b/>
                <w:i w:val="0"/>
                <w:color w:val="000000"/>
                <w:sz w:val="20"/>
                <w:szCs w:val="20"/>
                <w:u w:val="none"/>
              </w:rPr>
            </w:pPr>
            <w:r>
              <w:rPr>
                <w:rFonts w:hint="default" w:ascii="等线" w:hAnsi="等线" w:eastAsia="等线" w:cs="等线"/>
                <w:b/>
                <w:i w:val="0"/>
                <w:color w:val="000000"/>
                <w:kern w:val="0"/>
                <w:sz w:val="20"/>
                <w:szCs w:val="20"/>
                <w:u w:val="none"/>
                <w:lang w:val="en-US" w:eastAsia="zh-CN" w:bidi="ar"/>
              </w:rPr>
              <w:t>减分项</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监督检查、审计、绩效评价中发现的问题</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监督检查、审计、绩效评价中发现的问题</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在市级以上组织的监督检查、审计、绩效评价中发现部门资金管理方面存在问题或项目绩效目标未达成的，一个问题扣1分，不重复扣分。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eastAsia="zh-CN"/>
              </w:rPr>
            </w:pPr>
            <w:r>
              <w:rPr>
                <w:rFonts w:hint="eastAsia" w:ascii="等线" w:hAnsi="等线" w:eastAsia="等线" w:cs="等线"/>
                <w:i w:val="0"/>
                <w:color w:val="000000"/>
                <w:sz w:val="20"/>
                <w:szCs w:val="20"/>
                <w:u w:val="none"/>
                <w:lang w:eastAsia="zh-CN"/>
              </w:rPr>
              <w:t>无</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7628"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b/>
                <w:i w:val="0"/>
                <w:color w:val="000000"/>
                <w:sz w:val="20"/>
                <w:szCs w:val="20"/>
                <w:u w:val="none"/>
              </w:rPr>
            </w:pPr>
            <w:r>
              <w:rPr>
                <w:rFonts w:hint="default" w:ascii="等线" w:hAnsi="等线" w:eastAsia="等线" w:cs="等线"/>
                <w:b/>
                <w:i w:val="0"/>
                <w:color w:val="000000"/>
                <w:kern w:val="0"/>
                <w:sz w:val="20"/>
                <w:szCs w:val="20"/>
                <w:u w:val="none"/>
                <w:lang w:val="en-US" w:eastAsia="zh-CN" w:bidi="ar"/>
              </w:rPr>
              <w:t>总分</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97</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336"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注：重点工作、服务满意、可持续性这三项单位根据年初目标实际情况设定指标和评分标准。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6C1B48"/>
    <w:rsid w:val="1E935D89"/>
    <w:rsid w:val="27197CFE"/>
    <w:rsid w:val="3C6C1B48"/>
    <w:rsid w:val="4C5E21C8"/>
    <w:rsid w:val="6C7D4A2A"/>
    <w:rsid w:val="737E4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2021-05-18T02:14:00Z</dcterms:created>
  <dc:creator>Administrator</dc:creator>
  <cp:lastModifiedBy>Administrator</cp:lastModifiedBy>
  <dcterms:modified xsi:type="dcterms:W3CDTF">2021-05-18T03:01:46Z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