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5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94"/>
        <w:gridCol w:w="825"/>
        <w:gridCol w:w="795"/>
        <w:gridCol w:w="1336"/>
        <w:gridCol w:w="3510"/>
        <w:gridCol w:w="1365"/>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9540" w:type="dxa"/>
            <w:gridSpan w:val="7"/>
            <w:noWrap w:val="0"/>
            <w:vAlign w:val="center"/>
          </w:tcPr>
          <w:p>
            <w:pPr>
              <w:keepNext w:val="0"/>
              <w:keepLines w:val="0"/>
              <w:widowControl/>
              <w:suppressLineNumbers w:val="0"/>
              <w:jc w:val="left"/>
              <w:textAlignment w:val="center"/>
              <w:rPr>
                <w:rFonts w:hint="default" w:ascii="黑体" w:hAnsi="宋体" w:eastAsia="黑体" w:cs="黑体"/>
                <w:i w:val="0"/>
                <w:color w:val="000000"/>
                <w:sz w:val="22"/>
                <w:szCs w:val="22"/>
                <w:u w:val="none"/>
                <w:lang w:val="en-US"/>
              </w:rPr>
            </w:pPr>
            <w:r>
              <w:rPr>
                <w:rFonts w:hint="eastAsia" w:ascii="黑体" w:hAnsi="宋体" w:eastAsia="黑体" w:cs="黑体"/>
                <w:i w:val="0"/>
                <w:color w:val="000000"/>
                <w:kern w:val="0"/>
                <w:sz w:val="28"/>
                <w:szCs w:val="28"/>
                <w:u w:val="none"/>
                <w:lang w:val="en-US" w:eastAsia="zh-CN" w:bidi="ar"/>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 w:hRule="atLeast"/>
        </w:trPr>
        <w:tc>
          <w:tcPr>
            <w:tcW w:w="9540" w:type="dxa"/>
            <w:gridSpan w:val="7"/>
            <w:tcBorders>
              <w:bottom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i w:val="0"/>
                <w:color w:val="000000"/>
                <w:sz w:val="32"/>
                <w:szCs w:val="32"/>
                <w:u w:val="none"/>
              </w:rPr>
            </w:pPr>
            <w:r>
              <w:rPr>
                <w:rFonts w:hint="eastAsia" w:ascii="黑体" w:hAnsi="宋体" w:eastAsia="黑体" w:cs="黑体"/>
                <w:b/>
                <w:i w:val="0"/>
                <w:color w:val="000000"/>
                <w:kern w:val="0"/>
                <w:sz w:val="32"/>
                <w:szCs w:val="32"/>
                <w:u w:val="none"/>
                <w:lang w:val="en-US" w:eastAsia="zh-CN" w:bidi="ar"/>
              </w:rPr>
              <w:t>部门整体支出绩效评价指标体系评分表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一级指标</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二级指标</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三级指标</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四级指标</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评分标准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评分依据及简要说明</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61" w:hRule="atLeast"/>
        </w:trPr>
        <w:tc>
          <w:tcPr>
            <w:tcW w:w="79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履职效能（35分）</w:t>
            </w: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工作目标（5分）</w:t>
            </w: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目标设定（4分）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目标依据充分性（2分）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目标设定符合规定</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trPr>
        <w:tc>
          <w:tcPr>
            <w:tcW w:w="794"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工作目标合理性（2分）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①是否符合客观实际是否可实现、可完成；②是否将部门整体的工作目标细化分解，使其为可衡量、可比较。每项达到目标值得1分。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目标设定科实现可衡量</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trPr>
        <w:tc>
          <w:tcPr>
            <w:tcW w:w="794"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目标管理（1分）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目标管理有效性（1分）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①是否有对目标进行责任分解的相关工作机制；②目标管理工作机制是否科学、合理，是否能有效保障目标执行和落地。每项达到目标值得0.5分。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目标管理科学合理</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794"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2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整体工作（15分）</w:t>
            </w:r>
          </w:p>
        </w:tc>
        <w:tc>
          <w:tcPr>
            <w:tcW w:w="79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整体工作完成（15分）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总体工作完成率（15分）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总体工作完成率=单位年度工作要点已完成的数量/单位年度工作要点工作总数量；得分=指标实际完成值×15。</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单位年度工作要点全部完成</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2" w:hRule="atLeast"/>
        </w:trPr>
        <w:tc>
          <w:tcPr>
            <w:tcW w:w="794" w:type="dxa"/>
            <w:vMerge w:val="continue"/>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p>
        </w:tc>
        <w:tc>
          <w:tcPr>
            <w:tcW w:w="82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重点工作（15分）</w:t>
            </w:r>
          </w:p>
        </w:tc>
        <w:tc>
          <w:tcPr>
            <w:tcW w:w="79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default" w:ascii="宋体" w:hAnsi="宋体" w:eastAsia="宋体" w:cs="宋体"/>
                <w:i w:val="0"/>
                <w:color w:val="000000"/>
                <w:kern w:val="0"/>
                <w:sz w:val="20"/>
                <w:szCs w:val="20"/>
                <w:u w:val="none"/>
                <w:lang w:val="en-US" w:eastAsia="zh-CN" w:bidi="ar"/>
              </w:rPr>
              <w:t>重点工作（15分）</w:t>
            </w:r>
          </w:p>
        </w:tc>
        <w:tc>
          <w:tcPr>
            <w:tcW w:w="133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default" w:ascii="宋体" w:hAnsi="宋体" w:eastAsia="宋体" w:cs="宋体"/>
                <w:i w:val="0"/>
                <w:color w:val="000000"/>
                <w:kern w:val="0"/>
                <w:sz w:val="20"/>
                <w:szCs w:val="20"/>
                <w:u w:val="none"/>
                <w:lang w:val="en-US" w:eastAsia="zh-CN" w:bidi="ar"/>
              </w:rPr>
              <w:t>重点工作</w:t>
            </w:r>
            <w:r>
              <w:rPr>
                <w:rFonts w:hint="eastAsia" w:ascii="宋体" w:hAnsi="宋体" w:cs="宋体"/>
                <w:i w:val="0"/>
                <w:color w:val="000000"/>
                <w:kern w:val="0"/>
                <w:sz w:val="20"/>
                <w:szCs w:val="20"/>
                <w:u w:val="none"/>
                <w:lang w:val="en-US" w:eastAsia="zh-CN" w:bidi="ar"/>
              </w:rPr>
              <w:t>完成率</w:t>
            </w:r>
            <w:r>
              <w:rPr>
                <w:rFonts w:hint="default" w:ascii="宋体" w:hAnsi="宋体" w:eastAsia="宋体" w:cs="宋体"/>
                <w:i w:val="0"/>
                <w:color w:val="000000"/>
                <w:kern w:val="0"/>
                <w:sz w:val="20"/>
                <w:szCs w:val="20"/>
                <w:u w:val="none"/>
                <w:lang w:val="en-US" w:eastAsia="zh-CN" w:bidi="ar"/>
              </w:rPr>
              <w:t>（15分）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default" w:ascii="宋体" w:hAnsi="宋体" w:eastAsia="宋体" w:cs="宋体"/>
                <w:i w:val="0"/>
                <w:color w:val="000000"/>
                <w:kern w:val="0"/>
                <w:sz w:val="20"/>
                <w:szCs w:val="20"/>
                <w:u w:val="none"/>
                <w:lang w:val="en-US" w:eastAsia="zh-CN" w:bidi="ar"/>
              </w:rPr>
              <w:t>重点工作完成率=单位重点已完成的数量/单位重点总数量；得分=指标实际完成值×15。</w:t>
            </w:r>
          </w:p>
        </w:tc>
        <w:tc>
          <w:tcPr>
            <w:tcW w:w="136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default" w:ascii="宋体" w:hAnsi="宋体" w:eastAsia="宋体" w:cs="宋体"/>
                <w:i w:val="0"/>
                <w:color w:val="000000"/>
                <w:kern w:val="0"/>
                <w:sz w:val="20"/>
                <w:szCs w:val="20"/>
                <w:u w:val="none"/>
                <w:lang w:val="en-US" w:eastAsia="zh-CN" w:bidi="ar"/>
              </w:rPr>
              <w:t>重点工作完成率</w:t>
            </w:r>
            <w:r>
              <w:rPr>
                <w:rFonts w:hint="eastAsia" w:ascii="宋体" w:hAnsi="宋体" w:eastAsia="宋体" w:cs="宋体"/>
                <w:i w:val="0"/>
                <w:color w:val="000000"/>
                <w:kern w:val="0"/>
                <w:sz w:val="20"/>
                <w:szCs w:val="20"/>
                <w:u w:val="none"/>
                <w:lang w:val="en-US" w:eastAsia="zh-CN" w:bidi="ar"/>
              </w:rPr>
              <w:t>在90%以上</w:t>
            </w:r>
          </w:p>
        </w:tc>
        <w:tc>
          <w:tcPr>
            <w:tcW w:w="91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cs="宋体"/>
                <w:i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1" w:hRule="atLeast"/>
        </w:trPr>
        <w:tc>
          <w:tcPr>
            <w:tcW w:w="79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预算管理（25分）</w:t>
            </w: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预算编制（6分）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预算编制完整性（4分）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部门预算收入全部编入收入预算。支出预算编制科学，按项目分别编制</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预算科目设置合理性（2分）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①功能科目编制是否科学合理，编制到“项”；②经济科目的编制是否科学合理，编排至“款”。每项达到目标值得1分。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预算编制科学合理</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96"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预算执行（16分）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预算执行率（12分）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预算执行率=（预算执行数/预算数）×100%。得分=指标实际完成值×12。其中，预算执行数指部门本年度实际执行的预算数；预算数指财政部门批复的本年度部门的预算数。</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预算执行率为</w:t>
            </w:r>
            <w:r>
              <w:rPr>
                <w:rFonts w:hint="eastAsia" w:ascii="宋体" w:hAnsi="宋体" w:eastAsia="宋体" w:cs="宋体"/>
                <w:i w:val="0"/>
                <w:color w:val="000000"/>
                <w:sz w:val="20"/>
                <w:szCs w:val="20"/>
                <w:u w:val="none"/>
                <w:lang w:val="en-US" w:eastAsia="zh-CN"/>
              </w:rPr>
              <w:t>97.08</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1" w:hRule="atLeast"/>
        </w:trPr>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预算调整率（2分）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36" w:hRule="atLeast"/>
        </w:trPr>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结转结余变动率（2分）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结转结余变动率=[（本年度累计结转结余资金总额-上年度累计结转结余资金总额）/上年度累计结转结余资金总额]×100%；比率小于等于0，得2分；比率大于0，得0分。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both"/>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结转结余变动率为</w:t>
            </w:r>
            <w:r>
              <w:rPr>
                <w:rFonts w:hint="eastAsia" w:ascii="宋体" w:hAnsi="宋体" w:eastAsia="宋体" w:cs="宋体"/>
                <w:i w:val="0"/>
                <w:color w:val="000000"/>
                <w:sz w:val="20"/>
                <w:szCs w:val="20"/>
                <w:u w:val="none"/>
                <w:lang w:val="en-US" w:eastAsia="zh-CN"/>
              </w:rPr>
              <w:t>1.27%</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部门决算（1分）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部门决算编报质量（1分）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①是否按照相关编审要求报送；②部门决算编报的单位范围和资金范围是否符合相关要求。每项达到目标值得0.5分。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及时报送决算且符合相关要求</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预算改革（2分）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三年滚动财政规划（1分）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按文件规定编制了本部门（单位）中期财政规划得1分。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符合规定</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政府部门财务报告（1分）</w:t>
            </w:r>
          </w:p>
        </w:tc>
        <w:tc>
          <w:tcPr>
            <w:tcW w:w="3510"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按文件规定编制了政府部门财务报告得1分。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及时编制</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1"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收支管理（5分）</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收入管理（2分）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收入管理规范性（2分）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财政拨款收入、事业收入、上级补助收入、下属单位上缴收入、经营收入及其他收入管理是否符合财务规定。达到目标值得2分。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符合规定</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支出管理（3分）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支出管理规范性（2分）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基本支出和项目支出是否符合财务规定及相关制度办法的有关规定。达到目标值得2分。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符合规定</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0" w:hRule="atLeast"/>
        </w:trPr>
        <w:tc>
          <w:tcPr>
            <w:tcW w:w="79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重点支出结构合理性（1分）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重点项目支出是否合理（重点支出保障率=（重点项目支出/项目总支出）×100%）；得分=指标实际完成值×1。</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合理</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76" w:hRule="atLeast"/>
        </w:trPr>
        <w:tc>
          <w:tcPr>
            <w:tcW w:w="79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管理效率（52分）</w:t>
            </w: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财务管理（6分）</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制度完备（1.5分）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财务管理制度的完备性（1.5分）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程序合理，符合规定</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79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采购管理（2分）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政府采购执行率（2分）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政府采购执行率=（实际政府采购金额/政府采购预算数）×100%；得分=指标实际完成值×2。</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严格执行</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56" w:hRule="atLeast"/>
        </w:trPr>
        <w:tc>
          <w:tcPr>
            <w:tcW w:w="79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内部控制（2.5分）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内控制度有效性（2.5分）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严格进行</w:t>
            </w:r>
            <w:bookmarkStart w:id="0" w:name="_GoBack"/>
            <w:bookmarkEnd w:id="0"/>
            <w:r>
              <w:rPr>
                <w:rFonts w:hint="eastAsia" w:ascii="宋体" w:hAnsi="宋体" w:eastAsia="宋体" w:cs="宋体"/>
                <w:i w:val="0"/>
                <w:color w:val="000000"/>
                <w:sz w:val="20"/>
                <w:szCs w:val="20"/>
                <w:u w:val="none"/>
                <w:lang w:eastAsia="zh-CN"/>
              </w:rPr>
              <w:t>内部控制</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61" w:hRule="atLeast"/>
        </w:trPr>
        <w:tc>
          <w:tcPr>
            <w:tcW w:w="79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资产管理（4分）</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规范管理（2分）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资产管理规范性（2分）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资产管理规范</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5" w:hRule="atLeast"/>
        </w:trPr>
        <w:tc>
          <w:tcPr>
            <w:tcW w:w="79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有效使用（2分）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部门固定资产利用率（2分）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部门固定资产利用率=（部门实际在用固定资产总额/部门所有固定资产总额）×100%；得分=指标实际完成值×2。</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利用率</w:t>
            </w:r>
            <w:r>
              <w:rPr>
                <w:rFonts w:hint="eastAsia" w:ascii="宋体" w:hAnsi="宋体" w:eastAsia="宋体" w:cs="宋体"/>
                <w:i w:val="0"/>
                <w:color w:val="000000"/>
                <w:sz w:val="20"/>
                <w:szCs w:val="20"/>
                <w:u w:val="none"/>
                <w:lang w:val="en-US" w:eastAsia="zh-CN"/>
              </w:rPr>
              <w:t>100%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79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成本控制（12分）</w:t>
            </w:r>
          </w:p>
        </w:tc>
        <w:tc>
          <w:tcPr>
            <w:tcW w:w="79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机构运转成本调控（12分）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一般性支出变动率（5分）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一般性支出变动率=[（本年度一般性支出-上年度一般性支出） /本年度一般性支出]×100%；比率小于等于0，得5分；比率大于0，得0分。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比率小于0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794" w:type="dxa"/>
            <w:vMerge w:val="continue"/>
            <w:tcBorders>
              <w:top w:val="single" w:color="000000" w:sz="4" w:space="0"/>
              <w:left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人均公用经费变动率（3分）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人均公用经费变动率=[（本年度人均公用经费-上年度人均公用经费） /上年度人均公用经费]×100%；比率小于等于0，得3分；比率大于0，得0分。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比率小于</w:t>
            </w:r>
            <w:r>
              <w:rPr>
                <w:rFonts w:hint="eastAsia" w:ascii="宋体" w:hAnsi="宋体" w:eastAsia="宋体" w:cs="宋体"/>
                <w:i w:val="0"/>
                <w:color w:val="000000"/>
                <w:sz w:val="20"/>
                <w:szCs w:val="20"/>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5" w:hRule="atLeast"/>
        </w:trPr>
        <w:tc>
          <w:tcPr>
            <w:tcW w:w="794" w:type="dxa"/>
            <w:vMerge w:val="continue"/>
            <w:tcBorders>
              <w:top w:val="single" w:color="000000" w:sz="4" w:space="0"/>
              <w:left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82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color w:val="000000"/>
                <w:sz w:val="20"/>
                <w:szCs w:val="20"/>
                <w:u w:val="none"/>
              </w:rPr>
            </w:pPr>
          </w:p>
        </w:tc>
        <w:tc>
          <w:tcPr>
            <w:tcW w:w="133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“三公经费”变动率（4分）</w:t>
            </w:r>
          </w:p>
        </w:tc>
        <w:tc>
          <w:tcPr>
            <w:tcW w:w="351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“三公经费”变动率=[（本年度“三公经费”总额-上年度“三公经费”总额） /上年度“三公经费”总额]×100%；比率小于等于0，得4分；比率大于0，得0分。</w:t>
            </w:r>
          </w:p>
        </w:tc>
        <w:tc>
          <w:tcPr>
            <w:tcW w:w="13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比率小于</w:t>
            </w:r>
            <w:r>
              <w:rPr>
                <w:rFonts w:hint="eastAsia" w:ascii="宋体" w:hAnsi="宋体" w:eastAsia="宋体" w:cs="宋体"/>
                <w:i w:val="0"/>
                <w:color w:val="000000"/>
                <w:sz w:val="20"/>
                <w:szCs w:val="20"/>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794"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服务满意（8分）</w:t>
            </w:r>
          </w:p>
        </w:tc>
        <w:tc>
          <w:tcPr>
            <w:tcW w:w="82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服务对象满意</w:t>
            </w:r>
          </w:p>
        </w:tc>
        <w:tc>
          <w:tcPr>
            <w:tcW w:w="795"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公众满意度（4分）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公众满意度百分比</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95%（含）以上计4分；85%（含）-95%，计3分；75%（含）-85%，计1分；低于75%计0分。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公众满意</w:t>
            </w:r>
            <w:r>
              <w:rPr>
                <w:rFonts w:hint="eastAsia" w:ascii="宋体" w:hAnsi="宋体" w:eastAsia="宋体" w:cs="宋体"/>
                <w:i w:val="0"/>
                <w:color w:val="000000"/>
                <w:sz w:val="20"/>
                <w:szCs w:val="20"/>
                <w:u w:val="none"/>
                <w:lang w:val="en-US" w:eastAsia="zh-CN"/>
              </w:rPr>
              <w:t>95%以上</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794" w:type="dxa"/>
            <w:vMerge w:val="continue"/>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利益相关方满意</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利益相关方满意度（4分）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社会公众投诉率或投诉次数</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投诉率或投诉次数=0，得4分；投诉率或投诉次数&gt;0，得0分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投诉为</w:t>
            </w:r>
            <w:r>
              <w:rPr>
                <w:rFonts w:hint="eastAsia" w:ascii="宋体" w:hAnsi="宋体" w:eastAsia="宋体" w:cs="宋体"/>
                <w:i w:val="0"/>
                <w:color w:val="000000"/>
                <w:sz w:val="20"/>
                <w:szCs w:val="20"/>
                <w:u w:val="none"/>
                <w:lang w:val="en-US" w:eastAsia="zh-CN"/>
              </w:rPr>
              <w:t>0</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10" w:hRule="atLeas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可持续性（5分）</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可持续性影响程度</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持续发挥作用的期限（5分）</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公众受益覆盖面</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受益覆盖面达到95%（含）以上计5分；85%（含）-95%，计3分；75%（含）-85%，计1分；低于75%计0分。</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eastAsia="zh-CN"/>
              </w:rPr>
              <w:t>覆盖面达</w:t>
            </w:r>
            <w:r>
              <w:rPr>
                <w:rFonts w:hint="eastAsia" w:ascii="宋体" w:hAnsi="宋体" w:eastAsia="宋体" w:cs="宋体"/>
                <w:i w:val="0"/>
                <w:color w:val="000000"/>
                <w:sz w:val="20"/>
                <w:szCs w:val="20"/>
                <w:u w:val="none"/>
                <w:lang w:val="en-US" w:eastAsia="zh-CN"/>
              </w:rPr>
              <w:t>95%以上</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31" w:hRule="atLeas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减分项</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监督检查、审计、绩效评价中发现的问题</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监督检查、审计、绩效评价中发现的问题</w:t>
            </w:r>
          </w:p>
        </w:tc>
        <w:tc>
          <w:tcPr>
            <w:tcW w:w="13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在市级以上组织的监督检查、审计、绩效评价中发现部门资金管理方面存在问题或项目绩效目标未达成的，一个问题扣1分，不重复扣分。</w:t>
            </w:r>
          </w:p>
        </w:tc>
        <w:tc>
          <w:tcPr>
            <w:tcW w:w="3510"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color w:val="000000"/>
                <w:sz w:val="20"/>
                <w:szCs w:val="20"/>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无</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862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总     分</w:t>
            </w:r>
          </w:p>
        </w:tc>
        <w:tc>
          <w:tcPr>
            <w:tcW w:w="91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97.56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954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注：重点工作、服务满意、可持续性这三项单位根据年初目标实际情况设定指标和评分标准。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仿宋_GB2312"/>
    <w:panose1 w:val="00000000000000000000"/>
    <w:charset w:val="00"/>
    <w:family w:val="auto"/>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460058D"/>
    <w:rsid w:val="6A8D36A2"/>
    <w:rsid w:val="7EBF2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2021-05-17T02:51:00Z</dcterms:created>
  <dc:creator>Administrator</dc:creator>
  <cp:lastModifiedBy>Administrator</cp:lastModifiedBy>
  <dcterms:modified xsi:type="dcterms:W3CDTF">2021-05-17T07:13:02Z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