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10092" w:type="dxa"/>
        <w:tblInd w:w="-552" w:type="dxa"/>
        <w:tblLayout w:type="fixed"/>
        <w:tblCellMar>
          <w:top w:w="15" w:type="dxa"/>
          <w:left w:w="15" w:type="dxa"/>
          <w:bottom w:w="15" w:type="dxa"/>
          <w:right w:w="15" w:type="dxa"/>
        </w:tblCellMar>
        <w:tblLook w:val="0000"/>
      </w:tblPr>
      <w:tblGrid>
        <w:gridCol w:w="1346"/>
        <w:gridCol w:w="825"/>
        <w:gridCol w:w="795"/>
        <w:gridCol w:w="1336"/>
        <w:gridCol w:w="3510"/>
        <w:gridCol w:w="1365"/>
        <w:gridCol w:w="915"/>
      </w:tblGrid>
      <w:tr w:rsidR="00E7240A" w:rsidTr="00965386">
        <w:trPr>
          <w:trHeight w:val="286"/>
        </w:trPr>
        <w:tc>
          <w:tcPr>
            <w:tcW w:w="10092" w:type="dxa"/>
            <w:gridSpan w:val="7"/>
            <w:vAlign w:val="center"/>
          </w:tcPr>
          <w:p w:rsidR="00E7240A" w:rsidRDefault="00E7240A" w:rsidP="00E7240A">
            <w:pPr>
              <w:widowControl/>
              <w:jc w:val="left"/>
              <w:textAlignment w:val="center"/>
              <w:rPr>
                <w:rFonts w:ascii="黑体" w:eastAsia="黑体" w:hAnsi="宋体" w:cs="黑体"/>
                <w:color w:val="000000"/>
                <w:sz w:val="22"/>
                <w:szCs w:val="22"/>
              </w:rPr>
            </w:pPr>
            <w:r>
              <w:rPr>
                <w:rFonts w:ascii="黑体" w:eastAsia="黑体" w:hAnsi="宋体" w:cs="黑体" w:hint="eastAsia"/>
                <w:color w:val="000000"/>
                <w:kern w:val="0"/>
                <w:sz w:val="28"/>
                <w:szCs w:val="28"/>
                <w:lang/>
              </w:rPr>
              <w:t>附件</w:t>
            </w:r>
            <w:r>
              <w:rPr>
                <w:rFonts w:ascii="黑体" w:eastAsia="黑体" w:hAnsi="宋体" w:cs="黑体" w:hint="eastAsia"/>
                <w:color w:val="000000"/>
                <w:kern w:val="0"/>
                <w:sz w:val="28"/>
                <w:szCs w:val="28"/>
                <w:lang/>
              </w:rPr>
              <w:t>1</w:t>
            </w:r>
          </w:p>
        </w:tc>
      </w:tr>
      <w:tr w:rsidR="00E7240A" w:rsidTr="00965386">
        <w:trPr>
          <w:trHeight w:val="360"/>
        </w:trPr>
        <w:tc>
          <w:tcPr>
            <w:tcW w:w="10092" w:type="dxa"/>
            <w:gridSpan w:val="7"/>
            <w:tcBorders>
              <w:bottom w:val="single" w:sz="4" w:space="0" w:color="000000"/>
            </w:tcBorders>
            <w:vAlign w:val="center"/>
          </w:tcPr>
          <w:p w:rsidR="00E7240A" w:rsidRDefault="00E7240A" w:rsidP="00965386">
            <w:pPr>
              <w:widowControl/>
              <w:jc w:val="center"/>
              <w:textAlignment w:val="center"/>
              <w:rPr>
                <w:rFonts w:ascii="黑体" w:eastAsia="黑体" w:hAnsi="宋体" w:cs="黑体" w:hint="eastAsia"/>
                <w:b/>
                <w:color w:val="000000"/>
                <w:sz w:val="32"/>
                <w:szCs w:val="32"/>
              </w:rPr>
            </w:pPr>
            <w:r>
              <w:rPr>
                <w:rFonts w:ascii="黑体" w:eastAsia="黑体" w:hAnsi="宋体" w:cs="黑体" w:hint="eastAsia"/>
                <w:b/>
                <w:color w:val="000000"/>
                <w:kern w:val="0"/>
                <w:sz w:val="32"/>
                <w:szCs w:val="32"/>
                <w:lang/>
              </w:rPr>
              <w:t>部门整体支出绩效评价指标体系评分表</w:t>
            </w:r>
          </w:p>
        </w:tc>
      </w:tr>
      <w:tr w:rsidR="00E7240A" w:rsidTr="00965386">
        <w:trPr>
          <w:trHeight w:val="810"/>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一级指标</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二级指标</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三级指标</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四级指标</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评分标准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评分依据及简要说明</w:t>
            </w: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黑体" w:eastAsia="黑体" w:hAnsi="宋体" w:cs="黑体" w:hint="eastAsia"/>
                <w:color w:val="000000"/>
                <w:sz w:val="22"/>
                <w:szCs w:val="22"/>
              </w:rPr>
            </w:pPr>
            <w:r>
              <w:rPr>
                <w:rFonts w:ascii="黑体" w:eastAsia="黑体" w:hAnsi="宋体" w:cs="黑体" w:hint="eastAsia"/>
                <w:color w:val="000000"/>
                <w:kern w:val="0"/>
                <w:sz w:val="22"/>
                <w:szCs w:val="22"/>
                <w:lang/>
              </w:rPr>
              <w:t>得分</w:t>
            </w:r>
          </w:p>
        </w:tc>
      </w:tr>
      <w:tr w:rsidR="00E7240A" w:rsidTr="00965386">
        <w:trPr>
          <w:trHeight w:val="1561"/>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履职效能（35分）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工作目标（5分）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目标设定（4分）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目标依据充分性（2分）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是否依据法律法规、社会经济发展的总体规划设定；②是否符合部门“三定”方案确定的部门工作职责；③是否符合部门制定的中长期规划及年度工作计划；④是否具有科学性和前瞻性。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123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工作目标合理性（2分）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①是否符合客观实际是否可实现、可完成；②是否将部门整体的工作目标细化分解，使其为可衡量、可比较。每项达到目标值得1分。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123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目标管理（1分）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目标管理有效性（1分）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①是否有对目标进行责任分解的相关工作机制；②目标管理工作机制是否科学、合理，是否能有效保障目标执行和落地。每项达到目标值得0.5分。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96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整体工作（15分）</w:t>
            </w:r>
          </w:p>
        </w:tc>
        <w:tc>
          <w:tcPr>
            <w:tcW w:w="79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整体工作完成（15分）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总体工作完成率（15分）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总体工作完成率=单位年度工作要点已完成的数量/单位年度工作要点工作总数量；得分=指标实际完成值×15。</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15</w:t>
            </w:r>
          </w:p>
        </w:tc>
      </w:tr>
      <w:tr w:rsidR="00E7240A" w:rsidTr="00965386">
        <w:trPr>
          <w:trHeight w:val="555"/>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重点工作（15分）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主体班培训</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主体班培训工作完成率（15分）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Pr="006928D6" w:rsidRDefault="00E7240A" w:rsidP="00965386">
            <w:pPr>
              <w:jc w:val="left"/>
              <w:rPr>
                <w:rFonts w:ascii="宋体" w:hAnsi="宋体" w:cs="宋体" w:hint="eastAsia"/>
                <w:color w:val="000000"/>
                <w:sz w:val="20"/>
                <w:szCs w:val="20"/>
              </w:rPr>
            </w:pPr>
            <w:r>
              <w:rPr>
                <w:rFonts w:ascii="宋体" w:hAnsi="宋体" w:cs="宋体" w:hint="eastAsia"/>
                <w:color w:val="000000"/>
                <w:sz w:val="20"/>
                <w:szCs w:val="20"/>
              </w:rPr>
              <w:t>按照2019年大余县干部教育培训计划完成培训任务。</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Pr="006928D6" w:rsidRDefault="00E7240A" w:rsidP="00965386">
            <w:pPr>
              <w:ind w:firstLineChars="150" w:firstLine="300"/>
              <w:rPr>
                <w:rFonts w:ascii="宋体" w:hAnsi="宋体" w:cs="宋体" w:hint="eastAsia"/>
                <w:color w:val="000000"/>
                <w:sz w:val="20"/>
                <w:szCs w:val="20"/>
              </w:rPr>
            </w:pPr>
            <w:r>
              <w:rPr>
                <w:rFonts w:ascii="宋体" w:hAnsi="宋体" w:cs="宋体" w:hint="eastAsia"/>
                <w:color w:val="000000"/>
                <w:sz w:val="20"/>
                <w:szCs w:val="20"/>
              </w:rPr>
              <w:t>15</w:t>
            </w:r>
          </w:p>
        </w:tc>
      </w:tr>
      <w:tr w:rsidR="00E7240A" w:rsidTr="00965386">
        <w:trPr>
          <w:trHeight w:val="2161"/>
        </w:trPr>
        <w:tc>
          <w:tcPr>
            <w:tcW w:w="1346"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预算管理（25分）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预算编制（6分）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预算编制完整性（4分）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收入预算编制是否足额，是否将所有部门预算收入全部编入收入预算；②支出预算编制是否科学，是否是按人员经费按标准、日常公用经费按定额、专项经费按项目分别编制。③是否所有财政性资金及其配套资金采购货物、工程和服务支出编制了政府采购预算。④三公经费预算编制只减不增。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4</w:t>
            </w:r>
          </w:p>
        </w:tc>
      </w:tr>
      <w:tr w:rsidR="00E7240A" w:rsidTr="00965386">
        <w:trPr>
          <w:trHeight w:val="97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预算科目设置合理性（2分）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①功能科目编制是否科学合理，编制到“项”；②经济科目的编制是否科学合理，编排至“款”。每项达到目标值得1分。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1396"/>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预算执行（16分）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预算执行率（12分）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预算执行率=（预算执行数/预算数）×100%。得分=指标实际完成值×12。其中，预算执行数指部门本年度实际执行的预算数；预算数指财政部门批复的本年度部门的预算数。</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11</w:t>
            </w:r>
          </w:p>
        </w:tc>
      </w:tr>
      <w:tr w:rsidR="00E7240A" w:rsidTr="00965386">
        <w:trPr>
          <w:trHeight w:val="2761"/>
        </w:trPr>
        <w:tc>
          <w:tcPr>
            <w:tcW w:w="13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预算调整率（2分）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调整率=（预算调整数/预算数）×100%。得分=指标实际完成值×2。预算调整数：部门在本年度内涉及预算的追加、追减或结构调整的资金总和（因落实国家政策、发生不可抗力、上级部门或本级党委政府临时交办而产生的调整除外）。比率等于0，得满分；比率在0%-10%之间的，得1.5分；比率在10%-20%之间的，得1分；比率在20%-30%之间的，得0.5分；比率大于30%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1336"/>
        </w:trPr>
        <w:tc>
          <w:tcPr>
            <w:tcW w:w="1346"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结转结余变动率（2分）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结转结余变动率=[（本年度累计结转结余资金总额-上年度累计结转结余资金总额）/上年度累计结转结余资金总额]×100%；比率小于等于0，得2分；比率大于0，得0分。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97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部门决算（1分）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部门决算编报质量（1分）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①是否按照相关编审要求报送；②部门决算编报的单位范围和资金范围是否符合相关要求。每项达到目标值得0.5分。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55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预算改革（2分）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三年滚动财政规划（1分）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按文件规定编制了本部门（单位）中期财政规划得1分。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r>
      <w:tr w:rsidR="00E7240A" w:rsidTr="00965386">
        <w:trPr>
          <w:trHeight w:val="555"/>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政府部门财务报告（1分）</w:t>
            </w:r>
          </w:p>
        </w:tc>
        <w:tc>
          <w:tcPr>
            <w:tcW w:w="3510" w:type="dxa"/>
            <w:tcBorders>
              <w:top w:val="single" w:sz="4" w:space="0" w:color="000000"/>
              <w:left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按文件规定编制了政府部门财务报告得1分。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1291"/>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收支管理（5分）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收入管理（2分）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收入管理规范性（2分）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财政拨款收入、事业收入、上级补助收入、下属单位上缴收入、经营收入及其他收入管理是否符合财务规定。达到目标值得2分。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810"/>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支出管理（3分）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支出管理规范性（2分）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基本支出和项目支出是否符合财务规定及相关制度办法的有关规定。达到目标值得2分。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1020"/>
        </w:trPr>
        <w:tc>
          <w:tcPr>
            <w:tcW w:w="1346"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重点支出结构合理性（1分）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重点项目支出是否合理（重点支出保障率=（重点项目支出/项目总支出）×100%）；得分=指标实际完成值×1。</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w:t>
            </w:r>
          </w:p>
        </w:tc>
      </w:tr>
      <w:tr w:rsidR="00E7240A" w:rsidTr="00965386">
        <w:trPr>
          <w:trHeight w:val="1876"/>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lastRenderedPageBreak/>
              <w:t>管理效率（52分）</w:t>
            </w: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财务管理（6分）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制度完备（1.5分）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财务管理制度的完备性（1.5分）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资金的拨付和使用是否有比较完整的审批程序和手续；②财务核算符合财经法规和财务管理制度及专项资金管理有关规定；③部门基础数据信息和会计信息资料的真实性、完整性、准确性，能否对预算管理工作起到很好的支撑作用。每项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1.5</w:t>
            </w:r>
          </w:p>
        </w:tc>
      </w:tr>
      <w:tr w:rsidR="00E7240A" w:rsidTr="00965386">
        <w:trPr>
          <w:trHeight w:val="84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采购管理（2分）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政府采购执行率（2分）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政府采购执行率=（实际政府采购金额/政府采购预算数）×100%；得分=指标实际完成值×2。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2956"/>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内部控制（2.5分）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内控制度有效性（2.5分）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预算业务控制：单位是否建立健全预算编制、审批、执行、决算与评价等预算内部管理制度；②收支业务控制：单位是否建立健全收入、支出内部管理制度；③政府采购业务控制：单位是否建立健全政府采购预算与计划管理、政府采购活动管理、验收管理等政府采购内部管理制度；④资产控制：单位是否建立健全资产内部管理制度；上述每项达到目标值得0.5分。⑤上述内部控制管理制度是否执行到位有效。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2161"/>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资产管理（4分）</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规范管理（2分）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资产管理规范性（2分）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①资产保存是否完整，是否定期对固定资产进行清查，是否有因管理不当发生严重资产损失和丢失的情况；②是否存在超标准配置资产；③资产使用是否规范，是否存在未经批准擅自出租、出借资产行为；④资产处置是否规范，是否存在不按要求进行报批或资产不公开处置行为。达到目标值得0.5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w:t>
            </w:r>
          </w:p>
        </w:tc>
      </w:tr>
      <w:tr w:rsidR="00E7240A" w:rsidTr="00965386">
        <w:trPr>
          <w:trHeight w:val="1035"/>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有效使用（2分）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部门固定资产利用率（2分）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部门固定资产利用率=（部门实际在用固定资产总额/部门所有固定资产总额）×100%；得分=指标实际完成值×2。</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1.5</w:t>
            </w:r>
          </w:p>
        </w:tc>
      </w:tr>
      <w:tr w:rsidR="00E7240A" w:rsidTr="00965386">
        <w:trPr>
          <w:trHeight w:val="105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成本控制（12分）</w:t>
            </w:r>
          </w:p>
        </w:tc>
        <w:tc>
          <w:tcPr>
            <w:tcW w:w="795" w:type="dxa"/>
            <w:vMerge w:val="restart"/>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机构运转成本调控（12分）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一般性支出变动率（5分）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一般性支出变动率=[（本年度一般性支出-上年度一般性支出） /本年度一般性支出]×100%；比率小于等于0，得5分；比率大于0，得0分。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4.5</w:t>
            </w:r>
          </w:p>
        </w:tc>
      </w:tr>
      <w:tr w:rsidR="00E7240A" w:rsidTr="00965386">
        <w:trPr>
          <w:trHeight w:val="990"/>
        </w:trPr>
        <w:tc>
          <w:tcPr>
            <w:tcW w:w="1346" w:type="dxa"/>
            <w:vMerge/>
            <w:tcBorders>
              <w:top w:val="single" w:sz="4" w:space="0" w:color="000000"/>
              <w:left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人均公用经费变动率（3分）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人均公用经费变动率=[（本年度人均公用经费-上年度人均公用经费） /上年度人均公用经费]×100%；比率小于等于0，得3分；比率大于0，得0分。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2.5</w:t>
            </w:r>
          </w:p>
        </w:tc>
      </w:tr>
      <w:tr w:rsidR="00E7240A" w:rsidTr="00965386">
        <w:trPr>
          <w:trHeight w:val="1215"/>
        </w:trPr>
        <w:tc>
          <w:tcPr>
            <w:tcW w:w="1346" w:type="dxa"/>
            <w:vMerge/>
            <w:tcBorders>
              <w:top w:val="single" w:sz="4" w:space="0" w:color="000000"/>
              <w:left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82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795" w:type="dxa"/>
            <w:vMerge/>
            <w:tcBorders>
              <w:top w:val="single" w:sz="4" w:space="0" w:color="000000"/>
              <w:left w:val="single" w:sz="4" w:space="0" w:color="000000"/>
              <w:bottom w:val="single" w:sz="4" w:space="0" w:color="000000"/>
              <w:right w:val="single" w:sz="4" w:space="0" w:color="000000"/>
            </w:tcBorders>
            <w:shd w:val="clear" w:color="auto" w:fill="auto"/>
            <w:vAlign w:val="center"/>
          </w:tcPr>
          <w:p w:rsidR="00E7240A" w:rsidRDefault="00E7240A" w:rsidP="00965386">
            <w:pPr>
              <w:jc w:val="center"/>
              <w:rPr>
                <w:rFonts w:ascii="宋体" w:hAnsi="宋体" w:cs="宋体" w:hint="eastAsia"/>
                <w:color w:val="000000"/>
                <w:sz w:val="20"/>
                <w:szCs w:val="20"/>
              </w:rPr>
            </w:pPr>
          </w:p>
        </w:tc>
        <w:tc>
          <w:tcPr>
            <w:tcW w:w="1336"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“三公经费”变动率（4分）</w:t>
            </w:r>
          </w:p>
        </w:tc>
        <w:tc>
          <w:tcPr>
            <w:tcW w:w="3510"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“三公经费”变动率=[（本年度“三公经费”总额-上年度“三公经费”总额） /上年度“三公经费”总额]×100%；比率小于等于0，得4分；比率大于0，得0分。</w:t>
            </w:r>
          </w:p>
        </w:tc>
        <w:tc>
          <w:tcPr>
            <w:tcW w:w="136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shd w:val="clear" w:color="auto" w:fill="FFFFFF"/>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3</w:t>
            </w:r>
          </w:p>
        </w:tc>
      </w:tr>
      <w:tr w:rsidR="00E7240A" w:rsidTr="00965386">
        <w:trPr>
          <w:trHeight w:val="720"/>
        </w:trPr>
        <w:tc>
          <w:tcPr>
            <w:tcW w:w="1346" w:type="dxa"/>
            <w:vMerge w:val="restart"/>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服务满意（8分）</w:t>
            </w:r>
          </w:p>
        </w:tc>
        <w:tc>
          <w:tcPr>
            <w:tcW w:w="82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服务对象满意</w:t>
            </w:r>
          </w:p>
        </w:tc>
        <w:tc>
          <w:tcPr>
            <w:tcW w:w="795" w:type="dxa"/>
            <w:tcBorders>
              <w:top w:val="single" w:sz="4" w:space="0" w:color="000000"/>
              <w:left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公众满意度（4分）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公众满意度百分比</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95%（含）以上计4分；85%（含）-95%，计3分；75%（含）-85%，计1分；低于75%计0分。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3</w:t>
            </w:r>
          </w:p>
        </w:tc>
      </w:tr>
      <w:tr w:rsidR="00E7240A" w:rsidTr="00965386">
        <w:trPr>
          <w:trHeight w:val="840"/>
        </w:trPr>
        <w:tc>
          <w:tcPr>
            <w:tcW w:w="1346" w:type="dxa"/>
            <w:vMerge/>
            <w:tcBorders>
              <w:top w:val="single" w:sz="4" w:space="0" w:color="000000"/>
              <w:left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利益相关方满意</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利益相关方满意度（4分）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社会公众投诉率或投诉次数</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投诉率或投诉次数=0，得4分；投诉率或投诉次数&gt;0，得0分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rPr>
                <w:rFonts w:ascii="宋体" w:hAnsi="宋体" w:cs="宋体" w:hint="eastAsia"/>
                <w:color w:val="000000"/>
                <w:sz w:val="20"/>
                <w:szCs w:val="20"/>
              </w:rPr>
            </w:pPr>
            <w:r>
              <w:rPr>
                <w:rFonts w:ascii="宋体" w:hAnsi="宋体" w:cs="宋体" w:hint="eastAsia"/>
                <w:color w:val="000000"/>
                <w:sz w:val="20"/>
                <w:szCs w:val="20"/>
              </w:rPr>
              <w:t>4</w:t>
            </w:r>
          </w:p>
        </w:tc>
      </w:tr>
      <w:tr w:rsidR="00E7240A" w:rsidTr="00965386">
        <w:trPr>
          <w:trHeight w:val="1110"/>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可持续性（5分）</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可持续性影响程度</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持续发挥作用的期限（5分）</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公众受益覆盖面</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受益覆盖面达到95%（含）以上计5分；85%（含）-95%，计3分；75%（含）-85%，计1分；低于75%计0分。</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4</w:t>
            </w:r>
          </w:p>
        </w:tc>
      </w:tr>
      <w:tr w:rsidR="00E7240A" w:rsidTr="00965386">
        <w:trPr>
          <w:trHeight w:val="2731"/>
        </w:trPr>
        <w:tc>
          <w:tcPr>
            <w:tcW w:w="134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lang/>
              </w:rPr>
              <w:t>减分项</w:t>
            </w:r>
          </w:p>
        </w:tc>
        <w:tc>
          <w:tcPr>
            <w:tcW w:w="82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监督检查、审计、绩效评价中发现的问题</w:t>
            </w:r>
          </w:p>
        </w:tc>
        <w:tc>
          <w:tcPr>
            <w:tcW w:w="79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监督检查、审计、绩效评价中发现的问题</w:t>
            </w:r>
          </w:p>
        </w:tc>
        <w:tc>
          <w:tcPr>
            <w:tcW w:w="1336"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color w:val="000000"/>
                <w:sz w:val="20"/>
                <w:szCs w:val="20"/>
              </w:rPr>
            </w:pPr>
            <w:r>
              <w:rPr>
                <w:rFonts w:ascii="宋体" w:hAnsi="宋体" w:cs="宋体" w:hint="eastAsia"/>
                <w:color w:val="000000"/>
                <w:kern w:val="0"/>
                <w:sz w:val="20"/>
                <w:szCs w:val="20"/>
                <w:lang/>
              </w:rPr>
              <w:t>在市级以上组织的监督检查、审计、绩效评价中发现部门资金管理方面存在问题或项目绩效目标未达成的，一个问题扣1分，不重复扣分。</w:t>
            </w:r>
          </w:p>
        </w:tc>
        <w:tc>
          <w:tcPr>
            <w:tcW w:w="3510"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left"/>
              <w:rPr>
                <w:rFonts w:ascii="宋体" w:hAnsi="宋体" w:cs="宋体" w:hint="eastAsia"/>
                <w:color w:val="000000"/>
                <w:sz w:val="20"/>
                <w:szCs w:val="20"/>
              </w:rPr>
            </w:pPr>
            <w:r>
              <w:rPr>
                <w:rFonts w:ascii="宋体" w:hAnsi="宋体" w:cs="宋体" w:hint="eastAsia"/>
                <w:color w:val="000000"/>
                <w:sz w:val="20"/>
                <w:szCs w:val="20"/>
              </w:rPr>
              <w:t>无</w:t>
            </w:r>
          </w:p>
        </w:tc>
        <w:tc>
          <w:tcPr>
            <w:tcW w:w="136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p>
        </w:tc>
      </w:tr>
      <w:tr w:rsidR="00E7240A" w:rsidTr="00965386">
        <w:trPr>
          <w:trHeight w:val="450"/>
        </w:trPr>
        <w:tc>
          <w:tcPr>
            <w:tcW w:w="9177" w:type="dxa"/>
            <w:gridSpan w:val="6"/>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center"/>
              <w:textAlignment w:val="center"/>
              <w:rPr>
                <w:rFonts w:ascii="宋体" w:hAnsi="宋体" w:cs="宋体" w:hint="eastAsia"/>
                <w:b/>
                <w:color w:val="000000"/>
                <w:sz w:val="20"/>
                <w:szCs w:val="20"/>
              </w:rPr>
            </w:pPr>
            <w:r>
              <w:rPr>
                <w:rFonts w:ascii="宋体" w:hAnsi="宋体" w:cs="宋体" w:hint="eastAsia"/>
                <w:b/>
                <w:color w:val="000000"/>
                <w:kern w:val="0"/>
                <w:sz w:val="20"/>
                <w:szCs w:val="20"/>
                <w:lang/>
              </w:rPr>
              <w:t>总     分</w:t>
            </w:r>
          </w:p>
        </w:tc>
        <w:tc>
          <w:tcPr>
            <w:tcW w:w="915" w:type="dxa"/>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jc w:val="center"/>
              <w:rPr>
                <w:rFonts w:ascii="宋体" w:hAnsi="宋体" w:cs="宋体" w:hint="eastAsia"/>
                <w:color w:val="000000"/>
                <w:sz w:val="20"/>
                <w:szCs w:val="20"/>
              </w:rPr>
            </w:pPr>
            <w:r>
              <w:rPr>
                <w:rFonts w:ascii="宋体" w:hAnsi="宋体" w:cs="宋体" w:hint="eastAsia"/>
                <w:color w:val="000000"/>
                <w:sz w:val="20"/>
                <w:szCs w:val="20"/>
              </w:rPr>
              <w:t>91</w:t>
            </w:r>
          </w:p>
        </w:tc>
      </w:tr>
      <w:tr w:rsidR="00E7240A" w:rsidTr="00965386">
        <w:trPr>
          <w:trHeight w:val="660"/>
        </w:trPr>
        <w:tc>
          <w:tcPr>
            <w:tcW w:w="10092" w:type="dxa"/>
            <w:gridSpan w:val="7"/>
            <w:tcBorders>
              <w:top w:val="single" w:sz="4" w:space="0" w:color="000000"/>
              <w:left w:val="single" w:sz="4" w:space="0" w:color="000000"/>
              <w:bottom w:val="single" w:sz="4" w:space="0" w:color="000000"/>
              <w:right w:val="single" w:sz="4" w:space="0" w:color="000000"/>
            </w:tcBorders>
            <w:vAlign w:val="center"/>
          </w:tcPr>
          <w:p w:rsidR="00E7240A" w:rsidRDefault="00E7240A" w:rsidP="00965386">
            <w:pPr>
              <w:widowControl/>
              <w:jc w:val="left"/>
              <w:textAlignment w:val="center"/>
              <w:rPr>
                <w:rFonts w:ascii="宋体" w:hAnsi="宋体" w:cs="宋体" w:hint="eastAsia"/>
                <w:color w:val="000000"/>
                <w:sz w:val="20"/>
                <w:szCs w:val="20"/>
              </w:rPr>
            </w:pPr>
            <w:r>
              <w:rPr>
                <w:rFonts w:ascii="宋体" w:hAnsi="宋体" w:cs="宋体" w:hint="eastAsia"/>
                <w:color w:val="000000"/>
                <w:kern w:val="0"/>
                <w:sz w:val="20"/>
                <w:szCs w:val="20"/>
                <w:lang/>
              </w:rPr>
              <w:t>注：重点工作、服务满意、可持续性这三项单位根据年初目标实际情况设定指标和评分标准。</w:t>
            </w:r>
          </w:p>
        </w:tc>
      </w:tr>
    </w:tbl>
    <w:p w:rsidR="00761DD3" w:rsidRPr="00E7240A" w:rsidRDefault="00761DD3"/>
    <w:sectPr w:rsidR="00761DD3" w:rsidRPr="00E7240A">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61DD3" w:rsidRDefault="00761DD3" w:rsidP="00E7240A">
      <w:r>
        <w:separator/>
      </w:r>
    </w:p>
  </w:endnote>
  <w:endnote w:type="continuationSeparator" w:id="1">
    <w:p w:rsidR="00761DD3" w:rsidRDefault="00761DD3" w:rsidP="00E7240A">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61DD3" w:rsidRDefault="00761DD3" w:rsidP="00E7240A">
      <w:r>
        <w:separator/>
      </w:r>
    </w:p>
  </w:footnote>
  <w:footnote w:type="continuationSeparator" w:id="1">
    <w:p w:rsidR="00761DD3" w:rsidRDefault="00761DD3" w:rsidP="00E7240A">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E7240A"/>
    <w:rsid w:val="00761DD3"/>
    <w:rsid w:val="00E7240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7240A"/>
    <w:pPr>
      <w:widowControl w:val="0"/>
      <w:jc w:val="both"/>
    </w:pPr>
    <w:rPr>
      <w:rFonts w:ascii="Calibri" w:eastAsia="宋体" w:hAnsi="Calibri"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E7240A"/>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E7240A"/>
    <w:rPr>
      <w:sz w:val="18"/>
      <w:szCs w:val="18"/>
    </w:rPr>
  </w:style>
  <w:style w:type="paragraph" w:styleId="a4">
    <w:name w:val="footer"/>
    <w:basedOn w:val="a"/>
    <w:link w:val="Char0"/>
    <w:uiPriority w:val="99"/>
    <w:semiHidden/>
    <w:unhideWhenUsed/>
    <w:rsid w:val="00E7240A"/>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E7240A"/>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4</Pages>
  <Words>460</Words>
  <Characters>2628</Characters>
  <Application>Microsoft Office Word</Application>
  <DocSecurity>0</DocSecurity>
  <Lines>21</Lines>
  <Paragraphs>6</Paragraphs>
  <ScaleCrop>false</ScaleCrop>
  <Company>微软中国</Company>
  <LinksUpToDate>false</LinksUpToDate>
  <CharactersWithSpaces>3082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2021-05-14T07:31:00Z</dcterms:created>
  <dcterms:modified xsi:type="dcterms:W3CDTF">2021-05-14T07:32:00Z</dcterms:modified>
</cp:coreProperties>
</file>