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092" w:type="dxa"/>
        <w:tblInd w:w="-552" w:type="dxa"/>
        <w:tblLayout w:type="fixed"/>
        <w:tblCellMar>
          <w:top w:w="15" w:type="dxa"/>
          <w:left w:w="15" w:type="dxa"/>
          <w:bottom w:w="15" w:type="dxa"/>
          <w:right w:w="15" w:type="dxa"/>
        </w:tblCellMar>
      </w:tblPr>
      <w:tblGrid>
        <w:gridCol w:w="1346"/>
        <w:gridCol w:w="825"/>
        <w:gridCol w:w="795"/>
        <w:gridCol w:w="1336"/>
        <w:gridCol w:w="3510"/>
        <w:gridCol w:w="1365"/>
        <w:gridCol w:w="915"/>
      </w:tblGrid>
      <w:tr>
        <w:tblPrEx>
          <w:tblCellMar>
            <w:top w:w="15" w:type="dxa"/>
            <w:left w:w="15" w:type="dxa"/>
            <w:bottom w:w="15" w:type="dxa"/>
            <w:right w:w="15" w:type="dxa"/>
          </w:tblCellMar>
        </w:tblPrEx>
        <w:trPr>
          <w:trHeight w:val="286" w:hRule="atLeast"/>
        </w:trPr>
        <w:tc>
          <w:tcPr>
            <w:tcW w:w="10092" w:type="dxa"/>
            <w:gridSpan w:val="7"/>
            <w:vAlign w:val="center"/>
          </w:tcPr>
          <w:p>
            <w:pPr>
              <w:widowControl/>
              <w:jc w:val="left"/>
              <w:textAlignment w:val="center"/>
              <w:rPr>
                <w:rFonts w:ascii="黑体" w:hAnsi="宋体" w:eastAsia="黑体" w:cs="黑体"/>
                <w:color w:val="000000"/>
                <w:sz w:val="22"/>
                <w:szCs w:val="22"/>
              </w:rPr>
            </w:pPr>
            <w:r>
              <w:rPr>
                <w:rFonts w:hint="eastAsia" w:ascii="黑体" w:hAnsi="宋体" w:eastAsia="黑体" w:cs="黑体"/>
                <w:color w:val="000000"/>
                <w:kern w:val="0"/>
                <w:sz w:val="28"/>
                <w:szCs w:val="28"/>
              </w:rPr>
              <w:t>附件1</w:t>
            </w:r>
          </w:p>
        </w:tc>
      </w:tr>
      <w:tr>
        <w:tblPrEx>
          <w:tblCellMar>
            <w:top w:w="15" w:type="dxa"/>
            <w:left w:w="15" w:type="dxa"/>
            <w:bottom w:w="15" w:type="dxa"/>
            <w:right w:w="15" w:type="dxa"/>
          </w:tblCellMar>
        </w:tblPrEx>
        <w:trPr>
          <w:trHeight w:val="360" w:hRule="atLeast"/>
        </w:trPr>
        <w:tc>
          <w:tcPr>
            <w:tcW w:w="10092" w:type="dxa"/>
            <w:gridSpan w:val="7"/>
            <w:tcBorders>
              <w:bottom w:val="single" w:color="000000" w:sz="4" w:space="0"/>
            </w:tcBorders>
            <w:vAlign w:val="center"/>
          </w:tcPr>
          <w:p>
            <w:pPr>
              <w:widowControl/>
              <w:jc w:val="center"/>
              <w:textAlignment w:val="center"/>
              <w:rPr>
                <w:rFonts w:ascii="黑体" w:hAnsi="宋体" w:eastAsia="黑体" w:cs="黑体"/>
                <w:b/>
                <w:color w:val="000000"/>
                <w:sz w:val="32"/>
                <w:szCs w:val="32"/>
              </w:rPr>
            </w:pPr>
            <w:r>
              <w:rPr>
                <w:rFonts w:hint="eastAsia" w:ascii="黑体" w:hAnsi="宋体" w:eastAsia="黑体" w:cs="黑体"/>
                <w:b/>
                <w:color w:val="000000"/>
                <w:kern w:val="0"/>
                <w:sz w:val="32"/>
                <w:szCs w:val="32"/>
              </w:rPr>
              <w:t>部门整体支出绩效评价指标体系评分表</w:t>
            </w:r>
          </w:p>
        </w:tc>
      </w:tr>
      <w:tr>
        <w:tblPrEx>
          <w:tblCellMar>
            <w:top w:w="15" w:type="dxa"/>
            <w:left w:w="15" w:type="dxa"/>
            <w:bottom w:w="15" w:type="dxa"/>
            <w:right w:w="15" w:type="dxa"/>
          </w:tblCellMar>
        </w:tblPrEx>
        <w:trPr>
          <w:trHeight w:val="810"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一级指标</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二级指标</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三级指标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四级指标</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评分标准</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评分依据及简要说明</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得分</w:t>
            </w:r>
          </w:p>
        </w:tc>
      </w:tr>
      <w:tr>
        <w:tblPrEx>
          <w:tblCellMar>
            <w:top w:w="15" w:type="dxa"/>
            <w:left w:w="15" w:type="dxa"/>
            <w:bottom w:w="15" w:type="dxa"/>
            <w:right w:w="15" w:type="dxa"/>
          </w:tblCellMar>
        </w:tblPrEx>
        <w:trPr>
          <w:trHeight w:val="1561" w:hRule="atLeast"/>
        </w:trPr>
        <w:tc>
          <w:tcPr>
            <w:tcW w:w="134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履职效能（35分）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工作目标（5分）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目标设定（4分）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目标依据充分性（2分）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23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工作目标合理性（2分）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①是否符合客观实际是否可实现、可完成；②是否将部门整体的工作目标细化分解，使其为可衡量、可比较。每项达到目标值得1分。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23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目标管理（1分）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目标管理有效性（1分）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①是否有对目标进行责任分解的相关工作机制；②目标管理工作机制是否科学、合理，是否能有效保障目标执行和落地。每项达到目标值得0.5分。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96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整体工作（15分）</w:t>
            </w:r>
          </w:p>
        </w:tc>
        <w:tc>
          <w:tcPr>
            <w:tcW w:w="79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整体工作完成（15分）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总体工作完成率（15分）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总体工作完成率=单位年度工作要点已完成的数量/单位年度工作要点工作总数量；得分=指标实际完成值×15。</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重点工作（15分）</w:t>
            </w: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主体班培训</w:t>
            </w:r>
          </w:p>
        </w:tc>
        <w:tc>
          <w:tcPr>
            <w:tcW w:w="13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主体班培训工作完成率（15分）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szCs w:val="20"/>
              </w:rPr>
            </w:pPr>
            <w:r>
              <w:rPr>
                <w:rFonts w:hint="eastAsia" w:ascii="宋体" w:hAnsi="宋体" w:cs="宋体"/>
                <w:color w:val="000000"/>
                <w:sz w:val="20"/>
                <w:szCs w:val="20"/>
              </w:rPr>
              <w:t>按照2018年大余县干部教育培训计划完成培训任务。</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ind w:firstLine="300" w:firstLineChars="150"/>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2161" w:hRule="atLeast"/>
        </w:trPr>
        <w:tc>
          <w:tcPr>
            <w:tcW w:w="13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预算管理（25分）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预算编制（6分）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预算编制完整性（4分）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w:t>
            </w:r>
          </w:p>
        </w:tc>
      </w:tr>
      <w:tr>
        <w:tblPrEx>
          <w:tblCellMar>
            <w:top w:w="15" w:type="dxa"/>
            <w:left w:w="15" w:type="dxa"/>
            <w:bottom w:w="15" w:type="dxa"/>
            <w:right w:w="15" w:type="dxa"/>
          </w:tblCellMar>
        </w:tblPrEx>
        <w:trPr>
          <w:trHeight w:val="97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预算科目设置合理性（2分）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①功能科目编制是否科学合理，编制到“项”；②经济科目的编制是否科学合理，编排至“款”。每项达到目标值得1分。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396"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预算执行（16分）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预算执行率（12分）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预算执行率=（预算执行数/预算数）×100%。得分=指标实际完成值×12。其中，预算执行数指部门本年度实际执行的预算数；预算数指财政部门批复的本年度部门的预算数。</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11</w:t>
            </w:r>
          </w:p>
        </w:tc>
      </w:tr>
      <w:tr>
        <w:tblPrEx>
          <w:tblCellMar>
            <w:top w:w="15" w:type="dxa"/>
            <w:left w:w="15" w:type="dxa"/>
            <w:bottom w:w="15" w:type="dxa"/>
            <w:right w:w="15" w:type="dxa"/>
          </w:tblCellMar>
        </w:tblPrEx>
        <w:trPr>
          <w:trHeight w:val="2761"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预算调整率（2分）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336"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结转结余变动率（2分）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结转结余变动率=[（本年度累计结转结余资金总额-上年度累计结转结余资金总额）/上年度累计结转结余资金总额]×100%；比率小于等于0，得2分；比率大于0，得0分。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97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部门决算（1分）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部门决算编报质量（1分）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①是否按照相关编审要求报送；②部门决算编报的单位范围和资金范围是否符合相关要求。每项达到目标值得0.5分。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预算改革（2分）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三年滚动财政规划（1分）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按文件规定编制了本部门（单位）中期财政规划得1分。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政府部门财务报告（1分）</w:t>
            </w:r>
          </w:p>
        </w:tc>
        <w:tc>
          <w:tcPr>
            <w:tcW w:w="3510"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按文件规定编制了政府部门财务报告得1分。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1291"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收支管理（5分）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收入管理（2分）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收入管理规范性（2分）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财政拨款收入、事业收入、上级补助收入、下属单位上缴收入、经营收入及其他收入管理是否符合财务规定。达到目标值得2分。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81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支出管理（3分）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支出管理规范性（2分）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基本支出和项目支出是否符合财务规定及相关制度办法的有关规定。达到目标值得2分。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02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重点支出结构合理性（1分）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重点项目支出是否合理（重点支出保障率=（重点项目支出/项目总支出）×100%）；得分=指标实际完成值×1。</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1876" w:hRule="atLeast"/>
        </w:trPr>
        <w:tc>
          <w:tcPr>
            <w:tcW w:w="134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财务管理（6分）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制度完备（1.5分）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财务管理制度的完备性（1.5分）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84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采购管理（2分）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政府采购执行率（2分）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政府采购执行率=（实际政府采购金额/政府采购预算数）×100%；得分=指标实际完成值×2。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2956"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内部控制（2.5分）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内控制度有效性（2.5分）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2161"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资产管理（4分）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规范管理（2分）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035"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有效使用（2分）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部门固定资产利用率（2分）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部门固定资产利用率=（部门实际在用固定资产总额/部门所有固定资产总额）×100%；得分=指标实际完成值×2。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105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成本控制（12分）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机构运转成本调控（12分）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一般性支出变动率（5分）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一般性支出变动率=[（本年度一般性支出-上年度一般性支出） /本年度一般性支出]×100%；比率小于等于0，得5分；比率大于0，得0分。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4.5</w:t>
            </w:r>
          </w:p>
        </w:tc>
      </w:tr>
      <w:tr>
        <w:tblPrEx>
          <w:tblCellMar>
            <w:top w:w="15" w:type="dxa"/>
            <w:left w:w="15" w:type="dxa"/>
            <w:bottom w:w="15" w:type="dxa"/>
            <w:right w:w="15" w:type="dxa"/>
          </w:tblCellMar>
        </w:tblPrEx>
        <w:trPr>
          <w:trHeight w:val="990" w:hRule="atLeast"/>
        </w:trPr>
        <w:tc>
          <w:tcPr>
            <w:tcW w:w="134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人均公用经费变动率（3分）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人均公用经费变动率=[（本年度人均公用经费-上年度人均公用经费） /上年度人均公用经费]×100%；比率小于等于0，得3分；比率大于0，得0分。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2.5</w:t>
            </w:r>
          </w:p>
        </w:tc>
      </w:tr>
      <w:tr>
        <w:tblPrEx>
          <w:tblCellMar>
            <w:top w:w="15" w:type="dxa"/>
            <w:left w:w="15" w:type="dxa"/>
            <w:bottom w:w="15" w:type="dxa"/>
            <w:right w:w="15" w:type="dxa"/>
          </w:tblCellMar>
        </w:tblPrEx>
        <w:trPr>
          <w:trHeight w:val="1215" w:hRule="atLeast"/>
        </w:trPr>
        <w:tc>
          <w:tcPr>
            <w:tcW w:w="134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“三公经费”变动率（4分）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“三公经费”变动率=[（本年度“三公经费”总额-上年度“三公经费”总额） /上年度“三公经费”总额]×100%；比率小于等于0，得4分；比率大于0，得0分。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3</w:t>
            </w:r>
          </w:p>
        </w:tc>
      </w:tr>
      <w:tr>
        <w:tblPrEx>
          <w:tblCellMar>
            <w:top w:w="15" w:type="dxa"/>
            <w:left w:w="15" w:type="dxa"/>
            <w:bottom w:w="15" w:type="dxa"/>
            <w:right w:w="15" w:type="dxa"/>
          </w:tblCellMar>
        </w:tblPrEx>
        <w:trPr>
          <w:trHeight w:val="720" w:hRule="atLeast"/>
        </w:trPr>
        <w:tc>
          <w:tcPr>
            <w:tcW w:w="134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服务满意（8分）</w:t>
            </w: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服务对象满意</w:t>
            </w:r>
          </w:p>
        </w:tc>
        <w:tc>
          <w:tcPr>
            <w:tcW w:w="79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公众满意度（4分）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公众满意度百分比</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95%（含）以上计4分；85%（含）-95%，计3分；75%（含）-85%，计1分；低于75%计0分。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4</w:t>
            </w:r>
          </w:p>
        </w:tc>
      </w:tr>
      <w:tr>
        <w:tblPrEx>
          <w:tblCellMar>
            <w:top w:w="15" w:type="dxa"/>
            <w:left w:w="15" w:type="dxa"/>
            <w:bottom w:w="15" w:type="dxa"/>
            <w:right w:w="15" w:type="dxa"/>
          </w:tblCellMar>
        </w:tblPrEx>
        <w:trPr>
          <w:trHeight w:val="84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利益相关方满意</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利益相关方满意度（4分）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社会公众投诉率或投诉次数</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投诉率或投诉次数=0，得4分；投诉率或投诉次数&gt;0，得0分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w:t>
            </w:r>
          </w:p>
        </w:tc>
      </w:tr>
      <w:tr>
        <w:tblPrEx>
          <w:tblCellMar>
            <w:top w:w="15" w:type="dxa"/>
            <w:left w:w="15" w:type="dxa"/>
            <w:bottom w:w="15" w:type="dxa"/>
            <w:right w:w="15" w:type="dxa"/>
          </w:tblCellMar>
        </w:tblPrEx>
        <w:trPr>
          <w:trHeight w:val="1110"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可持续性（5分）</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可持续性影响程度</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持续发挥作用的期限（5分）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公众受益覆盖面</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受益覆盖面达到95%（含）以上计5分；85%（含）-95%，计3分；75%（含）-85%，计1分；低于75%计0分。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w:t>
            </w:r>
          </w:p>
        </w:tc>
      </w:tr>
      <w:tr>
        <w:tblPrEx>
          <w:tblCellMar>
            <w:top w:w="15" w:type="dxa"/>
            <w:left w:w="15" w:type="dxa"/>
            <w:bottom w:w="15" w:type="dxa"/>
            <w:right w:w="15" w:type="dxa"/>
          </w:tblCellMar>
        </w:tblPrEx>
        <w:trPr>
          <w:trHeight w:val="2731"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减分项</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监督检查、审计、绩效评价中发现的问题</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监督检查、审计、绩效评价中发现的问题</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在市级以上组织的监督检查、审计、绩效评价中发现部门资金管理方面存在问题或项目绩效目标未达成的，一个问题扣1分，不重复扣分。</w:t>
            </w: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szCs w:val="20"/>
              </w:rPr>
            </w:pPr>
            <w:r>
              <w:rPr>
                <w:rFonts w:hint="eastAsia" w:ascii="宋体" w:hAnsi="宋体" w:cs="宋体"/>
                <w:color w:val="000000"/>
                <w:sz w:val="20"/>
                <w:szCs w:val="20"/>
              </w:rPr>
              <w:t>无</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r>
      <w:tr>
        <w:tblPrEx>
          <w:tblCellMar>
            <w:top w:w="15" w:type="dxa"/>
            <w:left w:w="15" w:type="dxa"/>
            <w:bottom w:w="15" w:type="dxa"/>
            <w:right w:w="15" w:type="dxa"/>
          </w:tblCellMar>
        </w:tblPrEx>
        <w:trPr>
          <w:trHeight w:val="450" w:hRule="atLeast"/>
        </w:trPr>
        <w:tc>
          <w:tcPr>
            <w:tcW w:w="9177"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总     分</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rPr>
              <w:t>9</w:t>
            </w:r>
            <w:r>
              <w:rPr>
                <w:rFonts w:hint="eastAsia" w:ascii="宋体" w:hAnsi="宋体" w:cs="宋体"/>
                <w:color w:val="000000"/>
                <w:sz w:val="20"/>
                <w:szCs w:val="20"/>
                <w:lang w:val="en-US" w:eastAsia="zh-CN"/>
              </w:rPr>
              <w:t>4</w:t>
            </w:r>
            <w:bookmarkStart w:id="0" w:name="_GoBack"/>
            <w:bookmarkEnd w:id="0"/>
          </w:p>
        </w:tc>
      </w:tr>
      <w:tr>
        <w:tblPrEx>
          <w:tblCellMar>
            <w:top w:w="15" w:type="dxa"/>
            <w:left w:w="15" w:type="dxa"/>
            <w:bottom w:w="15" w:type="dxa"/>
            <w:right w:w="15" w:type="dxa"/>
          </w:tblCellMar>
        </w:tblPrEx>
        <w:trPr>
          <w:trHeight w:val="660" w:hRule="atLeast"/>
        </w:trPr>
        <w:tc>
          <w:tcPr>
            <w:tcW w:w="10092" w:type="dxa"/>
            <w:gridSpan w:val="7"/>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注：重点工作、服务满意、可持续性这三项单位根据年初目标实际情况设定指标和评分标准。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7240A"/>
    <w:rsid w:val="00135E73"/>
    <w:rsid w:val="00666C22"/>
    <w:rsid w:val="00761DD3"/>
    <w:rsid w:val="00B048D4"/>
    <w:rsid w:val="00C55175"/>
    <w:rsid w:val="00E7240A"/>
    <w:rsid w:val="32C631D2"/>
    <w:rsid w:val="35A340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460</Words>
  <Characters>2628</Characters>
  <Lines>21</Lines>
  <Paragraphs>6</Paragraphs>
  <TotalTime>3</TotalTime>
  <ScaleCrop>false</ScaleCrop>
  <LinksUpToDate>false</LinksUpToDate>
  <CharactersWithSpaces>3082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2021-05-14T07:31:00Z</dcterms:created>
  <dc:creator>微软用户</dc:creator>
  <cp:lastModifiedBy>。</cp:lastModifiedBy>
  <dcterms:modified xsi:type="dcterms:W3CDTF">2021-05-17T08:31:27Z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504D5634FA3F46D383F488956557226A</vt:lpwstr>
  </property>
</Properties>
</file>