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675"/>
        <w:gridCol w:w="786"/>
        <w:gridCol w:w="964"/>
        <w:gridCol w:w="1273"/>
        <w:gridCol w:w="3022"/>
        <w:gridCol w:w="908"/>
        <w:gridCol w:w="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8336" w:type="dxa"/>
            <w:gridSpan w:val="7"/>
            <w:tcBorders>
              <w:bottom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b/>
                <w:i w:val="0"/>
                <w:color w:val="000000"/>
                <w:kern w:val="0"/>
                <w:sz w:val="32"/>
                <w:szCs w:val="32"/>
                <w:u w:val="none"/>
                <w:lang w:val="en-US" w:eastAsia="zh-CN" w:bidi="ar"/>
              </w:rPr>
            </w:pPr>
            <w:r>
              <w:rPr>
                <w:rFonts w:hint="eastAsia" w:ascii="黑体" w:hAnsi="宋体" w:eastAsia="黑体" w:cs="黑体"/>
                <w:b/>
                <w:i w:val="0"/>
                <w:color w:val="000000"/>
                <w:kern w:val="0"/>
                <w:sz w:val="32"/>
                <w:szCs w:val="32"/>
                <w:u w:val="none"/>
                <w:lang w:val="en-US" w:eastAsia="zh-CN" w:bidi="ar"/>
              </w:rPr>
              <w:t>大余县交通运输局2018年度</w:t>
            </w:r>
          </w:p>
          <w:p>
            <w:pPr>
              <w:keepNext w:val="0"/>
              <w:keepLines w:val="0"/>
              <w:widowControl/>
              <w:suppressLineNumbers w:val="0"/>
              <w:jc w:val="center"/>
              <w:textAlignment w:val="center"/>
              <w:rPr>
                <w:rFonts w:ascii="黑体" w:hAnsi="宋体" w:eastAsia="黑体" w:cs="黑体"/>
                <w:b/>
                <w:i w:val="0"/>
                <w:color w:val="000000"/>
                <w:sz w:val="32"/>
                <w:szCs w:val="32"/>
                <w:u w:val="none"/>
              </w:rPr>
            </w:pPr>
            <w:r>
              <w:rPr>
                <w:rFonts w:hint="eastAsia" w:ascii="黑体" w:hAnsi="宋体" w:eastAsia="黑体" w:cs="黑体"/>
                <w:b/>
                <w:i w:val="0"/>
                <w:color w:val="000000"/>
                <w:kern w:val="0"/>
                <w:sz w:val="32"/>
                <w:szCs w:val="32"/>
                <w:u w:val="none"/>
                <w:lang w:val="en-US" w:eastAsia="zh-CN" w:bidi="ar"/>
              </w:rPr>
              <w:t>部门整体支出绩效评价指标体系评分表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一级指标</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二级指标</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三级指标</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四级指标</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评分标准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评分依据及简要说明</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履职效能（35分）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目标设定（4分）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目标依据充分性（2分）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已依据法律法规设定，符合部门三定方案确定职责，符合部门年度工作计划，具有科学性及前瞻性</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工作目标合理性（2分）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①是否符合客观实际是否可实现、可完成；②是否将部门整体的工作目标细化分解，使其为可衡量、可比较。每项达到目标值得1分。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符合客观实际，目标分解不够细化</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3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目标管理有效性（1分）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①是否有对目标进行责任分解的相关工作机制；②目标管理工作机制是否科学、合理，是否能有效保障目标执行和落地。每项达到目标值得0.5分。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制定目标责任分解工作机制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整体工作（15分）</w:t>
            </w:r>
          </w:p>
        </w:tc>
        <w:tc>
          <w:tcPr>
            <w:tcW w:w="964"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总体工作完成率=单位年度工作要点已完成的数量/单位年度工作要点工作总数量；得分=指标实际完成值×15。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总体工作完成良好</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重点工作（15分）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整体工作完成（15分）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总体工作完成率（15分）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总体工作完成率=单位重点工作已完成的数量/单位年度重点工作总数量；得分=指标实际完成值×15。</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重点工作完成良好，完成率9</w:t>
            </w:r>
            <w:r>
              <w:rPr>
                <w:rFonts w:hint="eastAsia" w:ascii="等线" w:hAnsi="等线" w:eastAsia="等线" w:cs="等线"/>
                <w:i w:val="0"/>
                <w:color w:val="000000"/>
                <w:sz w:val="20"/>
                <w:szCs w:val="20"/>
                <w:u w:val="none"/>
                <w:lang w:val="en-US" w:eastAsia="zh-CN"/>
              </w:rPr>
              <w:t>0</w:t>
            </w:r>
            <w:r>
              <w:rPr>
                <w:rFonts w:hint="default" w:ascii="等线" w:hAnsi="等线" w:eastAsia="等线" w:cs="等线"/>
                <w:i w:val="0"/>
                <w:color w:val="000000"/>
                <w:sz w:val="20"/>
                <w:szCs w:val="20"/>
                <w:u w:val="none"/>
              </w:rPr>
              <w:t>%</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15" w:hRule="atLeast"/>
        </w:trPr>
        <w:tc>
          <w:tcPr>
            <w:tcW w:w="67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预算管理（25分）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预算编制完整性（4分）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预算编制完整，支出预算科学，按人员经费按标准、日常经费定额、专项经费按项目编制，编制了采购预算、三公经费较上年减少</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7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预算科目设置合理性（2分）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①功能科目编制是否科学合理，编制到“项”；②经济科目的编制是否科学合理，编排至“款”。每项达到目标值得1分。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功能科目和经济科目编制科学合理，编制到项，编排至款</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9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预算执行（16分）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预算执行率（12分）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预算执行率=（预算执行数/预算数）×100%。得分=指标实际完成值×12。其中，预算执行数指部门本年度实际执行的预算数；预算数指财政部门批复的本年度部门的预算数。</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default" w:ascii="等线" w:hAnsi="等线" w:eastAsia="等线" w:cs="等线"/>
                <w:i w:val="0"/>
                <w:color w:val="000000"/>
                <w:sz w:val="20"/>
                <w:szCs w:val="20"/>
                <w:u w:val="none"/>
              </w:rPr>
              <w:t>预算执行率为</w:t>
            </w:r>
            <w:r>
              <w:rPr>
                <w:rFonts w:hint="eastAsia" w:ascii="等线" w:hAnsi="等线" w:eastAsia="等线" w:cs="等线"/>
                <w:i w:val="0"/>
                <w:color w:val="000000"/>
                <w:sz w:val="20"/>
                <w:szCs w:val="20"/>
                <w:u w:val="none"/>
                <w:lang w:val="en-US" w:eastAsia="zh-CN"/>
              </w:rPr>
              <w:t>95%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34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预算调整率（2分）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lang w:val="en-US"/>
              </w:rPr>
            </w:pPr>
            <w:r>
              <w:rPr>
                <w:rFonts w:hint="default" w:ascii="等线" w:hAnsi="等线" w:eastAsia="等线" w:cs="等线"/>
                <w:i w:val="0"/>
                <w:color w:val="000000"/>
                <w:kern w:val="0"/>
                <w:sz w:val="20"/>
                <w:szCs w:val="20"/>
                <w:u w:val="none"/>
                <w:lang w:val="en-US" w:eastAsia="zh-CN" w:bidi="ar"/>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结转结余变动率=[（本年度累计结转结余资金总额-上年度累计结转结余资金总额）/上年度累计结转结余资金总额]×100%；比率小于等于0，得2分；比率大于0，得0分。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1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部门决算（1分）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部门决算编报质量（1分）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①是否按照相关编审要求报送；②部门决算编报的单位范围和资金范围是否符合相关要求。每项达到目标值得0.5分。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部门决算按要求编报编审</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预算改革（2分）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三年滚动财政规划（1分）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按文件规定编制了本部门（单位）中期财政规划得1分。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未编制</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政府部门财务报告（1分）</w:t>
            </w:r>
          </w:p>
        </w:tc>
        <w:tc>
          <w:tcPr>
            <w:tcW w:w="3022"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按文件规定编制了政府部门财务报告得1分。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编制财务报告</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6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收支管理（5分）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收入管理规范性（2分）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财政拨款收入、事业收入、上级补助收入、下属单位上缴收入、经营收入及其他收入管理是否符合财务规定。达到目标值得2分。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收入符合财务规定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2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支出管理（3分）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支出管理规范性（2分）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基本支出和项目支出是否符合财务规定及相关制度办法的有关规定。达到目标值得2分。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支出符合财务规定</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atLeast"/>
        </w:trPr>
        <w:tc>
          <w:tcPr>
            <w:tcW w:w="67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重点支出结构合理性（1分）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重点项目支出是否合理（重点支出保障率=（重点项目支出/项目总支出）×100%）；得分=指标实际完成值×1。</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重点项目支出合理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0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管理效率（52分）</w:t>
            </w: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财务管理（6分）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制度完备（1.5分）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财务管理制度的完备性（1.5分）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kern w:val="2"/>
                <w:sz w:val="20"/>
                <w:szCs w:val="20"/>
                <w:u w:val="none"/>
                <w:lang w:val="en-US" w:eastAsia="zh-CN" w:bidi="ar-SA"/>
              </w:rPr>
            </w:pPr>
            <w:r>
              <w:rPr>
                <w:rFonts w:hint="default" w:ascii="等线" w:hAnsi="等线" w:eastAsia="等线" w:cs="等线"/>
                <w:i w:val="0"/>
                <w:color w:val="000000"/>
                <w:sz w:val="20"/>
                <w:szCs w:val="20"/>
                <w:u w:val="none"/>
              </w:rPr>
              <w:t>资金拨付和使用审批程序和手续完整，财务核算符合规定，基础数据信息完整</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采购管理（2分）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政府采购执行率=（实际政府采购金额/政府采购预算数）×100%；得分=指标实际完成值×2。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无采购</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2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内部控制（2.5分）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内控制度有效性（2.5分）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建立健全预算管理制度、收支业务制度、采购制度、资产管理制度</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资产管理（4分）</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规范管理（2分）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资产管理规范性（2分）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资产保存完整，没有因管理不当发生严重资产损失，不存在超标准配置资产，资产使用规范，不存在擅自出租出借，不存在不按要求报批及不公开处置行为</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4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有效使用（2分）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部门固定资产利用率（2分）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部门固定资产利用率=（部门实际在用固定资产总额/部门所有固定资产总额）×100%；得分=指标实际完成值×2。</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成本控制（12分）</w:t>
            </w:r>
          </w:p>
        </w:tc>
        <w:tc>
          <w:tcPr>
            <w:tcW w:w="964"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机构运转成本调控（12分）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一般性支出变动率（5分）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一般性支出变动率=[（本年度一般性支出-上年度一般性支出） /本年度一般性支出]×100%；比率小于等于0，得5分；比率大于0，得0分。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90"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人均公用经费变动率（3分）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人均公用经费变动率=[（本年度人均公用经费-上年度人均公用经费） /上年度人均公用经费]×100%；比率小于等于0，得3分；比率大于0，得0分。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21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96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“三公经费”变动率（4分）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“三公经费”变动率=[（本年度“三公经费”总额-上年度“三公经费”总额） /上年度“三公经费”总额]×100%；比率小于等于0，得4分；比率大于0，得0分。</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0" w:hRule="atLeast"/>
        </w:trPr>
        <w:tc>
          <w:tcPr>
            <w:tcW w:w="675" w:type="dxa"/>
            <w:vMerge w:val="restart"/>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服务满意（8分）</w:t>
            </w:r>
          </w:p>
        </w:tc>
        <w:tc>
          <w:tcPr>
            <w:tcW w:w="786" w:type="dxa"/>
            <w:tcBorders>
              <w:top w:val="single" w:color="000000" w:sz="4" w:space="0"/>
              <w:left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服务对象满意</w:t>
            </w:r>
          </w:p>
        </w:tc>
        <w:tc>
          <w:tcPr>
            <w:tcW w:w="964" w:type="dxa"/>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公众满意度（4分）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公众满意度百分比</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公众满意度</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公众满意度95%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55" w:hRule="atLeast"/>
        </w:trPr>
        <w:tc>
          <w:tcPr>
            <w:tcW w:w="675" w:type="dxa"/>
            <w:vMerge w:val="continue"/>
            <w:tcBorders>
              <w:top w:val="single" w:color="000000" w:sz="4" w:space="0"/>
              <w:left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利益相关方满意</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利益相关方满意度(4分)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社会公众投诉率或投诉次数</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社会公众投诉率或投诉次数</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社会公众投诉率或投诉次数＝0</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 xml:space="preserv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3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可持续性（5分）</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可持续性影响程度</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持续发挥作用的期限（5分）</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公众受益覆盖面</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公众受益覆盖面</w:t>
            </w: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rPr>
            </w:pPr>
            <w:r>
              <w:rPr>
                <w:rFonts w:hint="default" w:ascii="等线" w:hAnsi="等线" w:eastAsia="等线" w:cs="等线"/>
                <w:i w:val="0"/>
                <w:color w:val="000000"/>
                <w:sz w:val="20"/>
                <w:szCs w:val="20"/>
                <w:u w:val="none"/>
              </w:rPr>
              <w:t>公众受益覆盖面达到95%</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10" w:hRule="atLeast"/>
        </w:trPr>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减分项</w:t>
            </w:r>
          </w:p>
        </w:tc>
        <w:tc>
          <w:tcPr>
            <w:tcW w:w="78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9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监督检查、审计、绩效评价中发现的问题</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在市级以上组织的监督检查、审计、绩效评价中发现部门资金管理方面存在问题或项目绩效目标未达成的，一个问题扣1分，不重复扣分。</w:t>
            </w:r>
          </w:p>
        </w:tc>
        <w:tc>
          <w:tcPr>
            <w:tcW w:w="3022"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等线" w:hAnsi="等线" w:eastAsia="等线" w:cs="等线"/>
                <w:i w:val="0"/>
                <w:color w:val="000000"/>
                <w:sz w:val="20"/>
                <w:szCs w:val="20"/>
                <w:u w:val="none"/>
              </w:rPr>
            </w:pPr>
          </w:p>
        </w:tc>
        <w:tc>
          <w:tcPr>
            <w:tcW w:w="9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等线" w:hAnsi="等线" w:eastAsia="等线" w:cs="等线"/>
                <w:i w:val="0"/>
                <w:color w:val="000000"/>
                <w:sz w:val="20"/>
                <w:szCs w:val="20"/>
                <w:u w:val="none"/>
                <w:lang w:eastAsia="zh-CN"/>
              </w:rPr>
            </w:pPr>
            <w:r>
              <w:rPr>
                <w:rFonts w:hint="eastAsia" w:ascii="等线" w:hAnsi="等线" w:eastAsia="等线" w:cs="等线"/>
                <w:i w:val="0"/>
                <w:color w:val="000000"/>
                <w:sz w:val="20"/>
                <w:szCs w:val="20"/>
                <w:u w:val="none"/>
                <w:lang w:eastAsia="zh-CN"/>
              </w:rPr>
              <w:t>无</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7628"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等线" w:hAnsi="等线" w:eastAsia="等线" w:cs="等线"/>
                <w:b/>
                <w:i w:val="0"/>
                <w:color w:val="000000"/>
                <w:sz w:val="20"/>
                <w:szCs w:val="20"/>
                <w:u w:val="none"/>
              </w:rPr>
            </w:pPr>
            <w:r>
              <w:rPr>
                <w:rFonts w:hint="default" w:ascii="等线" w:hAnsi="等线" w:eastAsia="等线" w:cs="等线"/>
                <w:b/>
                <w:i w:val="0"/>
                <w:color w:val="000000"/>
                <w:kern w:val="0"/>
                <w:sz w:val="20"/>
                <w:szCs w:val="20"/>
                <w:u w:val="none"/>
                <w:lang w:val="en-US" w:eastAsia="zh-CN" w:bidi="ar"/>
              </w:rPr>
              <w:t>总分</w:t>
            </w:r>
          </w:p>
        </w:tc>
        <w:tc>
          <w:tcPr>
            <w:tcW w:w="70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等线" w:hAnsi="等线" w:eastAsia="等线" w:cs="等线"/>
                <w:i w:val="0"/>
                <w:color w:val="000000"/>
                <w:sz w:val="20"/>
                <w:szCs w:val="20"/>
                <w:u w:val="none"/>
                <w:lang w:val="en-US" w:eastAsia="zh-CN"/>
              </w:rPr>
            </w:pPr>
            <w:r>
              <w:rPr>
                <w:rFonts w:hint="eastAsia" w:ascii="等线" w:hAnsi="等线" w:eastAsia="等线" w:cs="等线"/>
                <w:i w:val="0"/>
                <w:color w:val="000000"/>
                <w:sz w:val="20"/>
                <w:szCs w:val="20"/>
                <w:u w:val="none"/>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rPr>
        <w:tc>
          <w:tcPr>
            <w:tcW w:w="8336"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等线" w:hAnsi="等线" w:eastAsia="等线" w:cs="等线"/>
                <w:i w:val="0"/>
                <w:color w:val="000000"/>
                <w:sz w:val="20"/>
                <w:szCs w:val="20"/>
                <w:u w:val="none"/>
              </w:rPr>
            </w:pPr>
            <w:r>
              <w:rPr>
                <w:rFonts w:hint="default" w:ascii="等线" w:hAnsi="等线" w:eastAsia="等线" w:cs="等线"/>
                <w:i w:val="0"/>
                <w:color w:val="000000"/>
                <w:kern w:val="0"/>
                <w:sz w:val="20"/>
                <w:szCs w:val="20"/>
                <w:u w:val="none"/>
                <w:lang w:val="en-US" w:eastAsia="zh-CN" w:bidi="ar"/>
              </w:rPr>
              <w:t>注：重点工作、服务满意、可持续性这三项单位根据年初目标实际情况设定指标和评分标准。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6C1B48"/>
    <w:rsid w:val="15553840"/>
    <w:rsid w:val="18A85E7F"/>
    <w:rsid w:val="1E935D89"/>
    <w:rsid w:val="27197CFE"/>
    <w:rsid w:val="2DD83A13"/>
    <w:rsid w:val="36403FC5"/>
    <w:rsid w:val="3C6C1B48"/>
    <w:rsid w:val="3F99131F"/>
    <w:rsid w:val="4A5B3186"/>
    <w:rsid w:val="4C5E21C8"/>
    <w:rsid w:val="580A5BD1"/>
    <w:rsid w:val="66EE4740"/>
    <w:rsid w:val="6C7D4A2A"/>
    <w:rsid w:val="737E4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2021-05-18T02:14:00Z</dcterms:created>
  <dc:creator>Administrator</dc:creator>
  <cp:lastModifiedBy>要减肥的胖嘟嘟</cp:lastModifiedBy>
  <dcterms:modified xsi:type="dcterms:W3CDTF">2021-05-19T02:45:22Z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D811C1EF936642CC83C83468F2A6CBB2</vt:lpwstr>
  </property>
</Properties>
</file>