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cs="宋体"/>
          <w:b/>
          <w:bCs/>
          <w:i w:val="0"/>
          <w:iCs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iCs w:val="0"/>
          <w:caps w:val="0"/>
          <w:color w:val="000000" w:themeColor="text1"/>
          <w:spacing w:val="0"/>
          <w:sz w:val="32"/>
          <w:szCs w:val="32"/>
          <w:shd w:val="clear" w:fill="FFFFFF"/>
          <w:lang w:eastAsia="zh-CN"/>
          <w14:textFill>
            <w14:solidFill>
              <w14:schemeClr w14:val="tx1"/>
            </w14:solidFill>
          </w14:textFill>
        </w:rPr>
        <w:t>大余县</w:t>
      </w:r>
      <w:r>
        <w:rPr>
          <w:rFonts w:hint="eastAsia" w:cs="宋体"/>
          <w:b/>
          <w:bCs/>
          <w:i w:val="0"/>
          <w:iCs w:val="0"/>
          <w:caps w:val="0"/>
          <w:color w:val="000000" w:themeColor="text1"/>
          <w:spacing w:val="0"/>
          <w:sz w:val="32"/>
          <w:szCs w:val="32"/>
          <w:shd w:val="clear" w:fill="FFFFFF"/>
          <w:lang w:eastAsia="zh-CN"/>
          <w14:textFill>
            <w14:solidFill>
              <w14:schemeClr w14:val="tx1"/>
            </w14:solidFill>
          </w14:textFill>
        </w:rPr>
        <w:t>接待办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微软雅黑" w:hAnsi="微软雅黑" w:eastAsia="微软雅黑" w:cs="微软雅黑"/>
          <w:color w:val="E14B45"/>
          <w:sz w:val="42"/>
          <w:szCs w:val="42"/>
        </w:rPr>
      </w:pPr>
      <w:r>
        <w:rPr>
          <w:rFonts w:hint="eastAsia" w:ascii="宋体" w:hAnsi="宋体" w:eastAsia="宋体" w:cs="宋体"/>
          <w:b/>
          <w:bCs/>
          <w:i w:val="0"/>
          <w:iCs w:val="0"/>
          <w:caps w:val="0"/>
          <w:color w:val="000000" w:themeColor="text1"/>
          <w:spacing w:val="0"/>
          <w:sz w:val="32"/>
          <w:szCs w:val="32"/>
          <w:shd w:val="clear" w:fill="FFFFFF"/>
          <w14:textFill>
            <w14:solidFill>
              <w14:schemeClr w14:val="tx1"/>
            </w14:solidFill>
          </w14:textFill>
        </w:rPr>
        <w:t>201</w:t>
      </w:r>
      <w:r>
        <w:rPr>
          <w:rFonts w:hint="eastAsia" w:cs="宋体"/>
          <w:b/>
          <w:bCs/>
          <w:i w:val="0"/>
          <w:iCs w:val="0"/>
          <w:caps w:val="0"/>
          <w:color w:val="000000" w:themeColor="text1"/>
          <w:spacing w:val="0"/>
          <w:sz w:val="32"/>
          <w:szCs w:val="32"/>
          <w:shd w:val="clear" w:fill="FFFFFF"/>
          <w:lang w:val="en-US" w:eastAsia="zh-CN"/>
          <w14:textFill>
            <w14:solidFill>
              <w14:schemeClr w14:val="tx1"/>
            </w14:solidFill>
          </w14:textFill>
        </w:rPr>
        <w:t>8</w:t>
      </w:r>
      <w:r>
        <w:rPr>
          <w:rFonts w:hint="eastAsia" w:ascii="宋体" w:hAnsi="宋体" w:eastAsia="宋体" w:cs="宋体"/>
          <w:b/>
          <w:bCs/>
          <w:i w:val="0"/>
          <w:iCs w:val="0"/>
          <w:caps w:val="0"/>
          <w:color w:val="000000" w:themeColor="text1"/>
          <w:spacing w:val="0"/>
          <w:sz w:val="32"/>
          <w:szCs w:val="32"/>
          <w:shd w:val="clear" w:fill="FFFFFF"/>
          <w14:textFill>
            <w14:solidFill>
              <w14:schemeClr w14:val="tx1"/>
            </w14:solidFill>
          </w14:textFill>
        </w:rPr>
        <w:t>年整体支出绩效自评报告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w:t>
      </w:r>
      <w:r>
        <w:rPr>
          <w:rFonts w:hint="eastAsia" w:ascii="黑体" w:hAnsi="Times New Roman" w:eastAsia="黑体" w:cs="Times New Roman"/>
          <w:kern w:val="2"/>
          <w:sz w:val="32"/>
          <w:szCs w:val="32"/>
          <w:lang w:val="en-US" w:eastAsia="zh-CN" w:bidi="ar-SA"/>
        </w:rPr>
        <w:t>　一、单位基本情况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黑体" w:hAnsi="黑体" w:eastAsia="黑体" w:cs="黑体"/>
          <w:b/>
          <w:kern w:val="2"/>
          <w:sz w:val="30"/>
          <w:szCs w:val="30"/>
          <w:lang w:val="en-US" w:eastAsia="zh-CN" w:bidi="ar-SA"/>
        </w:rPr>
      </w:pPr>
      <w:r>
        <w:rPr>
          <w:rFonts w:hint="eastAsia" w:ascii="黑体" w:hAnsi="黑体" w:eastAsia="黑体" w:cs="黑体"/>
          <w:i w:val="0"/>
          <w:iCs w:val="0"/>
          <w:caps w:val="0"/>
          <w:color w:val="4A4A4A"/>
          <w:spacing w:val="0"/>
          <w:sz w:val="30"/>
          <w:szCs w:val="30"/>
          <w:shd w:val="clear" w:fill="FFFFFF"/>
        </w:rPr>
        <w:t>　　</w:t>
      </w:r>
      <w:r>
        <w:rPr>
          <w:rFonts w:hint="eastAsia" w:ascii="黑体" w:hAnsi="黑体" w:eastAsia="黑体" w:cs="黑体"/>
          <w:i w:val="0"/>
          <w:iCs w:val="0"/>
          <w:caps w:val="0"/>
          <w:color w:val="4A4A4A"/>
          <w:spacing w:val="0"/>
          <w:sz w:val="30"/>
          <w:szCs w:val="30"/>
          <w:shd w:val="clear" w:fill="FFFFFF"/>
          <w:lang w:val="en-US" w:eastAsia="zh-CN"/>
        </w:rPr>
        <w:t xml:space="preserve">  </w:t>
      </w:r>
      <w:r>
        <w:rPr>
          <w:rFonts w:hint="eastAsia" w:ascii="黑体" w:hAnsi="黑体" w:eastAsia="黑体" w:cs="黑体"/>
          <w:b w:val="0"/>
          <w:bCs/>
          <w:kern w:val="2"/>
          <w:sz w:val="30"/>
          <w:szCs w:val="30"/>
          <w:lang w:val="en-US" w:eastAsia="zh-CN" w:bidi="ar-SA"/>
        </w:rPr>
        <w:t>（一）主要职能</w:t>
      </w:r>
    </w:p>
    <w:p>
      <w:pPr>
        <w:spacing w:line="400" w:lineRule="exact"/>
        <w:ind w:firstLine="555"/>
        <w:rPr>
          <w:rFonts w:hint="eastAsia" w:ascii="仿宋_GB2312" w:hAnsi="仿宋_GB2312" w:eastAsia="仿宋_GB2312" w:cs="仿宋_GB2312"/>
          <w:i w:val="0"/>
          <w:iCs w:val="0"/>
          <w:caps w:val="0"/>
          <w:color w:val="4A4A4A"/>
          <w:spacing w:val="0"/>
          <w:kern w:val="0"/>
          <w:sz w:val="30"/>
          <w:szCs w:val="30"/>
          <w:shd w:val="clear" w:fill="FFFFFF"/>
          <w:lang w:val="en-US" w:eastAsia="zh-CN" w:bidi="ar"/>
        </w:rPr>
      </w:pPr>
      <w:r>
        <w:rPr>
          <w:rFonts w:hint="eastAsia" w:ascii="仿宋_GB2312" w:hAnsi="仿宋_GB2312" w:eastAsia="仿宋_GB2312" w:cs="仿宋_GB2312"/>
          <w:i w:val="0"/>
          <w:iCs w:val="0"/>
          <w:caps w:val="0"/>
          <w:color w:val="4A4A4A"/>
          <w:spacing w:val="0"/>
          <w:kern w:val="0"/>
          <w:sz w:val="30"/>
          <w:szCs w:val="30"/>
          <w:shd w:val="clear" w:fill="FFFFFF"/>
          <w:lang w:val="en-US" w:eastAsia="zh-CN" w:bidi="ar"/>
        </w:rPr>
        <w:t>　　根据“三定”方案，县接待办是负责县委县政府综合性公务接待工作的县委直属参公事业单位，主要职责是接待来余考察调研、检查督查的上级领导。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黑体" w:hAnsi="黑体" w:eastAsia="黑体" w:cs="黑体"/>
          <w:b w:val="0"/>
          <w:bCs/>
          <w:kern w:val="2"/>
          <w:sz w:val="30"/>
          <w:szCs w:val="30"/>
          <w:lang w:val="en-US" w:eastAsia="zh-CN" w:bidi="ar-SA"/>
        </w:rPr>
      </w:pPr>
      <w:r>
        <w:rPr>
          <w:rFonts w:hint="eastAsia" w:ascii="黑体" w:hAnsi="黑体" w:eastAsia="黑体" w:cs="黑体"/>
          <w:b w:val="0"/>
          <w:bCs/>
          <w:kern w:val="2"/>
          <w:sz w:val="30"/>
          <w:szCs w:val="30"/>
          <w:lang w:val="en-US" w:eastAsia="zh-CN" w:bidi="ar-SA"/>
        </w:rPr>
        <w:t>（二）部门绩效指标设定情况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b/>
          <w:bCs/>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b/>
          <w:bCs/>
          <w:i w:val="0"/>
          <w:iCs w:val="0"/>
          <w:caps w:val="0"/>
          <w:color w:val="4A4A4A"/>
          <w:spacing w:val="0"/>
          <w:sz w:val="30"/>
          <w:szCs w:val="30"/>
          <w:shd w:val="clear" w:fill="FFFFFF"/>
          <w:lang w:val="en-US" w:eastAsia="zh-CN"/>
        </w:rPr>
        <w:t xml:space="preserve">  </w:t>
      </w:r>
      <w:r>
        <w:rPr>
          <w:rFonts w:hint="eastAsia" w:ascii="仿宋_GB2312" w:hAnsi="仿宋_GB2312" w:eastAsia="仿宋_GB2312" w:cs="仿宋_GB2312"/>
          <w:b/>
          <w:bCs/>
          <w:i w:val="0"/>
          <w:iCs w:val="0"/>
          <w:caps w:val="0"/>
          <w:color w:val="4A4A4A"/>
          <w:spacing w:val="0"/>
          <w:sz w:val="30"/>
          <w:szCs w:val="30"/>
          <w:shd w:val="clear" w:fill="FFFFFF"/>
        </w:rPr>
        <w:t>1.年度主要工作任务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lang w:val="en-US" w:eastAsia="zh-CN"/>
        </w:rPr>
      </w:pPr>
      <w:r>
        <w:rPr>
          <w:rFonts w:hint="eastAsia" w:ascii="仿宋_GB2312" w:hAnsi="仿宋_GB2312" w:eastAsia="仿宋_GB2312" w:cs="仿宋_GB2312"/>
          <w:i w:val="0"/>
          <w:iCs w:val="0"/>
          <w:caps w:val="0"/>
          <w:color w:val="4A4A4A"/>
          <w:spacing w:val="0"/>
          <w:sz w:val="30"/>
          <w:szCs w:val="30"/>
          <w:shd w:val="clear" w:fill="FFFFFF"/>
          <w:lang w:val="en-US" w:eastAsia="zh-CN"/>
        </w:rPr>
        <w:t>全年共接待来宾346批次，近6000人。其中接待省部级领导19批次，厅局级领导83批次，大型会议及活动7批次，市专项审计组3批次。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lang w:val="en-US" w:eastAsia="zh-CN"/>
        </w:rPr>
      </w:pPr>
      <w:r>
        <w:rPr>
          <w:rFonts w:hint="eastAsia" w:ascii="仿宋_GB2312" w:hAnsi="仿宋_GB2312" w:eastAsia="仿宋_GB2312" w:cs="仿宋_GB2312"/>
          <w:i w:val="0"/>
          <w:iCs w:val="0"/>
          <w:caps w:val="0"/>
          <w:color w:val="4A4A4A"/>
          <w:spacing w:val="0"/>
          <w:sz w:val="30"/>
          <w:szCs w:val="30"/>
          <w:shd w:val="clear" w:fill="FFFFFF"/>
          <w:lang w:val="en-US" w:eastAsia="zh-CN"/>
        </w:rPr>
        <w:t>1月16日，国务院参事室特约研究员、国家安监总局原总工程师黄毅一行到大余调研。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lang w:val="en-US" w:eastAsia="zh-CN"/>
        </w:rPr>
      </w:pPr>
      <w:r>
        <w:rPr>
          <w:rFonts w:hint="eastAsia" w:ascii="仿宋_GB2312" w:hAnsi="仿宋_GB2312" w:eastAsia="仿宋_GB2312" w:cs="仿宋_GB2312"/>
          <w:i w:val="0"/>
          <w:iCs w:val="0"/>
          <w:caps w:val="0"/>
          <w:color w:val="4A4A4A"/>
          <w:spacing w:val="0"/>
          <w:sz w:val="30"/>
          <w:szCs w:val="30"/>
          <w:shd w:val="clear" w:fill="FFFFFF"/>
          <w:lang w:val="en-US" w:eastAsia="zh-CN"/>
        </w:rPr>
        <w:t>2月21日，举行2018年返乡人士、在外人才迎新春座谈会。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lang w:val="en-US" w:eastAsia="zh-CN"/>
        </w:rPr>
      </w:pPr>
      <w:r>
        <w:rPr>
          <w:rFonts w:hint="eastAsia" w:ascii="仿宋_GB2312" w:hAnsi="仿宋_GB2312" w:eastAsia="仿宋_GB2312" w:cs="仿宋_GB2312"/>
          <w:i w:val="0"/>
          <w:iCs w:val="0"/>
          <w:caps w:val="0"/>
          <w:color w:val="4A4A4A"/>
          <w:spacing w:val="0"/>
          <w:sz w:val="30"/>
          <w:szCs w:val="30"/>
          <w:shd w:val="clear" w:fill="FFFFFF"/>
          <w:lang w:val="en-US" w:eastAsia="zh-CN"/>
        </w:rPr>
        <w:t>3月24日，清华大学先进制造珠三角分会2018军民融合调研组到大余调研，并举办招商推介会。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lang w:val="en-US" w:eastAsia="zh-CN"/>
        </w:rPr>
      </w:pPr>
      <w:r>
        <w:rPr>
          <w:rFonts w:hint="eastAsia" w:ascii="仿宋_GB2312" w:hAnsi="仿宋_GB2312" w:eastAsia="仿宋_GB2312" w:cs="仿宋_GB2312"/>
          <w:i w:val="0"/>
          <w:iCs w:val="0"/>
          <w:caps w:val="0"/>
          <w:color w:val="4A4A4A"/>
          <w:spacing w:val="0"/>
          <w:sz w:val="30"/>
          <w:szCs w:val="30"/>
          <w:shd w:val="clear" w:fill="FFFFFF"/>
          <w:lang w:val="en-US" w:eastAsia="zh-CN"/>
        </w:rPr>
        <w:t>4月11日，举行大余县2018年招商引资暨“六大攻坚战”重点项目“三集中”系列活动。22日，举行2018大余国际山地马拉松赛。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lang w:val="en-US" w:eastAsia="zh-CN"/>
        </w:rPr>
      </w:pPr>
      <w:r>
        <w:rPr>
          <w:rFonts w:hint="eastAsia" w:ascii="仿宋_GB2312" w:hAnsi="仿宋_GB2312" w:eastAsia="仿宋_GB2312" w:cs="仿宋_GB2312"/>
          <w:i w:val="0"/>
          <w:iCs w:val="0"/>
          <w:caps w:val="0"/>
          <w:color w:val="4A4A4A"/>
          <w:spacing w:val="0"/>
          <w:sz w:val="30"/>
          <w:szCs w:val="30"/>
          <w:shd w:val="clear" w:fill="FFFFFF"/>
          <w:lang w:val="en-US" w:eastAsia="zh-CN"/>
        </w:rPr>
        <w:t>5月9日，副省长</w:t>
      </w:r>
      <w:bookmarkStart w:id="0" w:name="_GoBack"/>
      <w:bookmarkEnd w:id="0"/>
      <w:r>
        <w:rPr>
          <w:rFonts w:hint="eastAsia" w:ascii="仿宋_GB2312" w:hAnsi="仿宋_GB2312" w:eastAsia="仿宋_GB2312" w:cs="仿宋_GB2312"/>
          <w:i w:val="0"/>
          <w:iCs w:val="0"/>
          <w:caps w:val="0"/>
          <w:color w:val="4A4A4A"/>
          <w:spacing w:val="0"/>
          <w:sz w:val="30"/>
          <w:szCs w:val="30"/>
          <w:shd w:val="clear" w:fill="FFFFFF"/>
          <w:lang w:val="en-US" w:eastAsia="zh-CN"/>
        </w:rPr>
        <w:t>一行到大余调研。11日，中央政策研究室原主任、中国政策科学研究会会长、国际儒学联合会会长滕文生一行到大余调研。28日，省委书记、省长刘奇一行到大余调研。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lang w:val="en-US" w:eastAsia="zh-CN"/>
        </w:rPr>
      </w:pPr>
      <w:r>
        <w:rPr>
          <w:rFonts w:hint="eastAsia" w:ascii="仿宋_GB2312" w:hAnsi="仿宋_GB2312" w:eastAsia="仿宋_GB2312" w:cs="仿宋_GB2312"/>
          <w:i w:val="0"/>
          <w:iCs w:val="0"/>
          <w:caps w:val="0"/>
          <w:color w:val="4A4A4A"/>
          <w:spacing w:val="0"/>
          <w:sz w:val="30"/>
          <w:szCs w:val="30"/>
          <w:shd w:val="clear" w:fill="FFFFFF"/>
          <w:lang w:val="en-US" w:eastAsia="zh-CN"/>
        </w:rPr>
        <w:t>6月17日，中央第四环保督察组组长马中平一行在大余督察，省委副书记、市委书记李炳军陪同。22日，省检察院检察长田云鹏一行到大余调研。24日，2018赣州旅游新媒体微论坛在大余举行。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lang w:val="en-US" w:eastAsia="zh-CN"/>
        </w:rPr>
      </w:pPr>
      <w:r>
        <w:rPr>
          <w:rFonts w:hint="eastAsia" w:ascii="仿宋_GB2312" w:hAnsi="仿宋_GB2312" w:eastAsia="仿宋_GB2312" w:cs="仿宋_GB2312"/>
          <w:i w:val="0"/>
          <w:iCs w:val="0"/>
          <w:caps w:val="0"/>
          <w:color w:val="4A4A4A"/>
          <w:spacing w:val="0"/>
          <w:sz w:val="30"/>
          <w:szCs w:val="30"/>
          <w:shd w:val="clear" w:fill="FFFFFF"/>
          <w:lang w:val="en-US" w:eastAsia="zh-CN"/>
        </w:rPr>
        <w:t>7月4日，省委副书记、市委书记李炳军一行到大余调研。17日，全省殡葬改革工作现场推进会与会人员到大余参观考察殡葬改革工作。18日，民政部副部长高晓兵一行到大余调研。24日，全省特色小镇建设工作现场推进会在大余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lang w:val="en-US" w:eastAsia="zh-CN"/>
        </w:rPr>
      </w:pPr>
      <w:r>
        <w:rPr>
          <w:rFonts w:hint="eastAsia" w:ascii="仿宋_GB2312" w:hAnsi="仿宋_GB2312" w:eastAsia="仿宋_GB2312" w:cs="仿宋_GB2312"/>
          <w:i w:val="0"/>
          <w:iCs w:val="0"/>
          <w:caps w:val="0"/>
          <w:color w:val="4A4A4A"/>
          <w:spacing w:val="0"/>
          <w:sz w:val="30"/>
          <w:szCs w:val="30"/>
          <w:shd w:val="clear" w:fill="FFFFFF"/>
          <w:lang w:val="en-US" w:eastAsia="zh-CN"/>
        </w:rPr>
        <w:t>8月17日，省人大常委会副主任朱虹一行到大余调研。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lang w:val="en-US" w:eastAsia="zh-CN"/>
        </w:rPr>
      </w:pPr>
      <w:r>
        <w:rPr>
          <w:rFonts w:hint="eastAsia" w:ascii="仿宋_GB2312" w:hAnsi="仿宋_GB2312" w:eastAsia="仿宋_GB2312" w:cs="仿宋_GB2312"/>
          <w:i w:val="0"/>
          <w:iCs w:val="0"/>
          <w:caps w:val="0"/>
          <w:color w:val="4A4A4A"/>
          <w:spacing w:val="0"/>
          <w:sz w:val="30"/>
          <w:szCs w:val="30"/>
          <w:shd w:val="clear" w:fill="FFFFFF"/>
          <w:lang w:val="en-US" w:eastAsia="zh-CN"/>
        </w:rPr>
        <w:t>9月12日，国家应急管理部总工程师王浩水一行到大余调研。14日，江西（赣州）旅台中青年故乡行参访团一行到大余参观交流。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lang w:val="en-US" w:eastAsia="zh-CN"/>
        </w:rPr>
      </w:pPr>
      <w:r>
        <w:rPr>
          <w:rFonts w:hint="eastAsia" w:ascii="仿宋_GB2312" w:hAnsi="仿宋_GB2312" w:eastAsia="仿宋_GB2312" w:cs="仿宋_GB2312"/>
          <w:i w:val="0"/>
          <w:iCs w:val="0"/>
          <w:caps w:val="0"/>
          <w:color w:val="4A4A4A"/>
          <w:spacing w:val="0"/>
          <w:sz w:val="30"/>
          <w:szCs w:val="30"/>
          <w:shd w:val="clear" w:fill="FFFFFF"/>
          <w:lang w:val="en-US" w:eastAsia="zh-CN"/>
        </w:rPr>
        <w:t>10月12日，副省长吴忠琼一行到大余调研。16日，省政协副主席、九三学社省委会主委李华栋一行到大余调研。19-20日，2018海峡两岸暨港澳大健康论坛在大余举办。24日，省政协副主席谢茹率省政协港澳委员、特邀代表视察团一行，到大余开展专题视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default" w:ascii="仿宋_GB2312" w:hAnsi="仿宋_GB2312" w:eastAsia="仿宋_GB2312" w:cs="仿宋_GB2312"/>
          <w:i w:val="0"/>
          <w:iCs w:val="0"/>
          <w:caps w:val="0"/>
          <w:color w:val="4A4A4A"/>
          <w:spacing w:val="0"/>
          <w:sz w:val="30"/>
          <w:szCs w:val="30"/>
          <w:shd w:val="clear" w:fill="FFFFFF"/>
          <w:lang w:val="en-US" w:eastAsia="zh-CN"/>
        </w:rPr>
      </w:pPr>
      <w:r>
        <w:rPr>
          <w:rFonts w:hint="eastAsia" w:ascii="仿宋_GB2312" w:hAnsi="仿宋_GB2312" w:eastAsia="仿宋_GB2312" w:cs="仿宋_GB2312"/>
          <w:i w:val="0"/>
          <w:iCs w:val="0"/>
          <w:caps w:val="0"/>
          <w:color w:val="4A4A4A"/>
          <w:spacing w:val="0"/>
          <w:sz w:val="30"/>
          <w:szCs w:val="30"/>
          <w:shd w:val="clear" w:fill="FFFFFF"/>
          <w:lang w:val="en-US" w:eastAsia="zh-CN"/>
        </w:rPr>
        <w:t>11月7日，应急管理部副部长孙华山一行到大余调研。30日，央视电影频道2018“脱贫攻坚·星光行动”调研拍摄活动在大余举办。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lang w:val="zh-CN"/>
        </w:rPr>
      </w:pPr>
      <w:r>
        <w:rPr>
          <w:rFonts w:hint="eastAsia" w:ascii="仿宋_GB2312" w:hAnsi="仿宋_GB2312" w:eastAsia="仿宋_GB2312" w:cs="仿宋_GB2312"/>
          <w:i w:val="0"/>
          <w:iCs w:val="0"/>
          <w:caps w:val="0"/>
          <w:color w:val="4A4A4A"/>
          <w:spacing w:val="0"/>
          <w:sz w:val="30"/>
          <w:szCs w:val="30"/>
          <w:shd w:val="clear" w:fill="FFFFFF"/>
          <w:lang w:val="en-US" w:eastAsia="zh-CN"/>
        </w:rPr>
        <w:t>12月9日，原中央党史研究室副主任石仲泉一行到大余调研。28日，中南大学原校长、中国工程院院士黄伯云一行到大余调研指导。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602" w:firstLineChars="200"/>
        <w:rPr>
          <w:rFonts w:hint="eastAsia" w:ascii="仿宋_GB2312" w:hAnsi="仿宋_GB2312" w:eastAsia="仿宋_GB2312" w:cs="仿宋_GB2312"/>
          <w:b/>
          <w:bCs/>
          <w:i w:val="0"/>
          <w:iCs w:val="0"/>
          <w:caps w:val="0"/>
          <w:color w:val="4A4A4A"/>
          <w:spacing w:val="0"/>
          <w:sz w:val="30"/>
          <w:szCs w:val="30"/>
          <w:shd w:val="clear" w:fill="FFFFFF"/>
          <w:lang w:val="en-US" w:eastAsia="zh-CN"/>
        </w:rPr>
      </w:pPr>
      <w:r>
        <w:rPr>
          <w:rFonts w:hint="eastAsia" w:ascii="仿宋_GB2312" w:hAnsi="仿宋_GB2312" w:eastAsia="仿宋_GB2312" w:cs="仿宋_GB2312"/>
          <w:b/>
          <w:bCs/>
          <w:i w:val="0"/>
          <w:iCs w:val="0"/>
          <w:caps w:val="0"/>
          <w:color w:val="4A4A4A"/>
          <w:spacing w:val="0"/>
          <w:sz w:val="30"/>
          <w:szCs w:val="30"/>
          <w:shd w:val="clear" w:fill="FFFFFF"/>
          <w:lang w:val="en-US" w:eastAsia="zh-CN"/>
        </w:rPr>
        <w:t>2.年度绩效目标设定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lang w:val="zh-CN"/>
        </w:rPr>
        <w:t>随着我县各项事业的蓬勃发展和营商环境的不断优化，到我县来调研的上级领导、考察学习的团队、投资考察的客商、宣传报道我县的新闻媒体等都络绎不绝，</w:t>
      </w:r>
      <w:r>
        <w:rPr>
          <w:rFonts w:hint="eastAsia" w:ascii="仿宋_GB2312" w:hAnsi="仿宋_GB2312" w:eastAsia="仿宋_GB2312" w:cs="仿宋_GB2312"/>
          <w:i w:val="0"/>
          <w:iCs w:val="0"/>
          <w:caps w:val="0"/>
          <w:color w:val="4A4A4A"/>
          <w:spacing w:val="0"/>
          <w:sz w:val="30"/>
          <w:szCs w:val="30"/>
          <w:shd w:val="clear" w:fill="FFFFFF"/>
        </w:rPr>
        <w:t>办公室主要负责同志带领全体干部职工</w:t>
      </w:r>
      <w:r>
        <w:rPr>
          <w:rFonts w:hint="eastAsia" w:ascii="仿宋_GB2312" w:hAnsi="仿宋_GB2312" w:eastAsia="仿宋_GB2312" w:cs="仿宋_GB2312"/>
          <w:i w:val="0"/>
          <w:iCs w:val="0"/>
          <w:caps w:val="0"/>
          <w:color w:val="4A4A4A"/>
          <w:spacing w:val="0"/>
          <w:sz w:val="30"/>
          <w:szCs w:val="30"/>
          <w:shd w:val="clear" w:fill="FFFFFF"/>
          <w:lang w:val="zh-CN"/>
        </w:rPr>
        <w:t>开拓创新，扎实工作，为县委县政府的公务接待工作做好了后勤保障。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   </w:t>
      </w:r>
      <w:r>
        <w:rPr>
          <w:rFonts w:hint="eastAsia" w:ascii="仿宋_GB2312" w:hAnsi="仿宋_GB2312" w:eastAsia="仿宋_GB2312" w:cs="仿宋_GB2312"/>
          <w:i w:val="0"/>
          <w:iCs w:val="0"/>
          <w:caps w:val="0"/>
          <w:color w:val="4A4A4A"/>
          <w:spacing w:val="0"/>
          <w:sz w:val="30"/>
          <w:szCs w:val="30"/>
          <w:shd w:val="clear" w:fill="FFFFFF"/>
        </w:rPr>
        <w:t>我</w:t>
      </w:r>
      <w:r>
        <w:rPr>
          <w:rFonts w:hint="eastAsia" w:ascii="仿宋_GB2312" w:hAnsi="仿宋_GB2312" w:eastAsia="仿宋_GB2312" w:cs="仿宋_GB2312"/>
          <w:i w:val="0"/>
          <w:iCs w:val="0"/>
          <w:caps w:val="0"/>
          <w:color w:val="4A4A4A"/>
          <w:spacing w:val="0"/>
          <w:sz w:val="30"/>
          <w:szCs w:val="30"/>
          <w:shd w:val="clear" w:fill="FFFFFF"/>
          <w:lang w:eastAsia="zh-CN"/>
        </w:rPr>
        <w:t>办各项</w:t>
      </w:r>
      <w:r>
        <w:rPr>
          <w:rFonts w:hint="eastAsia" w:ascii="仿宋_GB2312" w:hAnsi="仿宋_GB2312" w:eastAsia="仿宋_GB2312" w:cs="仿宋_GB2312"/>
          <w:i w:val="0"/>
          <w:iCs w:val="0"/>
          <w:caps w:val="0"/>
          <w:color w:val="4A4A4A"/>
          <w:spacing w:val="0"/>
          <w:sz w:val="30"/>
          <w:szCs w:val="30"/>
          <w:shd w:val="clear" w:fill="FFFFFF"/>
        </w:rPr>
        <w:t>经费严格执行国家有关财经法律、法规和财务规章制度，坚持勤俭办事的方针。有健全的管理制度，有年度资金预算，有财务管理制度，有接待及物品管理实施方案，按内控管理要求制定各科室工作制度、岗位职责及操作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b/>
          <w:bCs/>
          <w:i w:val="0"/>
          <w:iCs w:val="0"/>
          <w:caps w:val="0"/>
          <w:color w:val="4A4A4A"/>
          <w:spacing w:val="0"/>
          <w:sz w:val="30"/>
          <w:szCs w:val="30"/>
          <w:shd w:val="clear" w:fill="FFFFFF"/>
          <w:lang w:val="en-US" w:eastAsia="zh-CN"/>
        </w:rPr>
        <w:t>3.绩效指标设定情况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48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根据绩效目标，设定指向明确、合理可行、细化量化的绩效指标。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right="0" w:firstLine="600" w:firstLineChars="200"/>
        <w:rPr>
          <w:rFonts w:hint="eastAsia" w:ascii="黑体" w:hAnsi="黑体" w:eastAsia="黑体" w:cs="黑体"/>
          <w:b w:val="0"/>
          <w:bCs/>
          <w:kern w:val="2"/>
          <w:sz w:val="30"/>
          <w:szCs w:val="30"/>
          <w:lang w:val="en-US" w:eastAsia="zh-CN" w:bidi="ar-SA"/>
        </w:rPr>
      </w:pPr>
      <w:r>
        <w:rPr>
          <w:rFonts w:hint="eastAsia" w:ascii="黑体" w:hAnsi="黑体" w:eastAsia="黑体" w:cs="黑体"/>
          <w:b w:val="0"/>
          <w:bCs/>
          <w:kern w:val="2"/>
          <w:sz w:val="30"/>
          <w:szCs w:val="30"/>
          <w:lang w:val="en-US" w:eastAsia="zh-CN" w:bidi="ar-SA"/>
        </w:rPr>
        <w:t>（三）部门整体收支情况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1．部门预算批复情况。20</w:t>
      </w:r>
      <w:r>
        <w:rPr>
          <w:rFonts w:hint="eastAsia" w:ascii="仿宋_GB2312" w:hAnsi="仿宋_GB2312" w:eastAsia="仿宋_GB2312" w:cs="仿宋_GB2312"/>
          <w:i w:val="0"/>
          <w:iCs w:val="0"/>
          <w:caps w:val="0"/>
          <w:color w:val="4A4A4A"/>
          <w:spacing w:val="0"/>
          <w:sz w:val="30"/>
          <w:szCs w:val="30"/>
          <w:shd w:val="clear" w:fill="FFFFFF"/>
          <w:lang w:val="en-US" w:eastAsia="zh-CN"/>
        </w:rPr>
        <w:t>18</w:t>
      </w:r>
      <w:r>
        <w:rPr>
          <w:rFonts w:hint="eastAsia" w:ascii="仿宋_GB2312" w:hAnsi="仿宋_GB2312" w:eastAsia="仿宋_GB2312" w:cs="仿宋_GB2312"/>
          <w:i w:val="0"/>
          <w:iCs w:val="0"/>
          <w:caps w:val="0"/>
          <w:color w:val="4A4A4A"/>
          <w:spacing w:val="0"/>
          <w:sz w:val="30"/>
          <w:szCs w:val="30"/>
          <w:shd w:val="clear" w:fill="FFFFFF"/>
        </w:rPr>
        <w:t>年部门预算总收入</w:t>
      </w:r>
      <w:r>
        <w:rPr>
          <w:rFonts w:hint="eastAsia" w:ascii="仿宋_GB2312" w:hAnsi="仿宋_GB2312" w:eastAsia="仿宋_GB2312" w:cs="仿宋_GB2312"/>
          <w:i w:val="0"/>
          <w:iCs w:val="0"/>
          <w:caps w:val="0"/>
          <w:color w:val="4A4A4A"/>
          <w:spacing w:val="0"/>
          <w:sz w:val="30"/>
          <w:szCs w:val="30"/>
          <w:shd w:val="clear" w:fill="FFFFFF"/>
          <w:lang w:val="en-US" w:eastAsia="zh-CN"/>
        </w:rPr>
        <w:t>347.04</w:t>
      </w:r>
      <w:r>
        <w:rPr>
          <w:rFonts w:hint="eastAsia" w:ascii="仿宋_GB2312" w:hAnsi="仿宋_GB2312" w:eastAsia="仿宋_GB2312" w:cs="仿宋_GB2312"/>
          <w:i w:val="0"/>
          <w:iCs w:val="0"/>
          <w:caps w:val="0"/>
          <w:color w:val="4A4A4A"/>
          <w:spacing w:val="0"/>
          <w:sz w:val="30"/>
          <w:szCs w:val="30"/>
          <w:shd w:val="clear" w:fill="FFFFFF"/>
        </w:rPr>
        <w:t>万元；201</w:t>
      </w:r>
      <w:r>
        <w:rPr>
          <w:rFonts w:hint="eastAsia" w:ascii="仿宋_GB2312" w:hAnsi="仿宋_GB2312" w:eastAsia="仿宋_GB2312" w:cs="仿宋_GB2312"/>
          <w:i w:val="0"/>
          <w:iCs w:val="0"/>
          <w:caps w:val="0"/>
          <w:color w:val="4A4A4A"/>
          <w:spacing w:val="0"/>
          <w:sz w:val="30"/>
          <w:szCs w:val="30"/>
          <w:shd w:val="clear" w:fill="FFFFFF"/>
          <w:lang w:val="en-US" w:eastAsia="zh-CN"/>
        </w:rPr>
        <w:t>8</w:t>
      </w:r>
      <w:r>
        <w:rPr>
          <w:rFonts w:hint="eastAsia" w:ascii="仿宋_GB2312" w:hAnsi="仿宋_GB2312" w:eastAsia="仿宋_GB2312" w:cs="仿宋_GB2312"/>
          <w:i w:val="0"/>
          <w:iCs w:val="0"/>
          <w:caps w:val="0"/>
          <w:color w:val="4A4A4A"/>
          <w:spacing w:val="0"/>
          <w:sz w:val="30"/>
          <w:szCs w:val="30"/>
          <w:shd w:val="clear" w:fill="FFFFFF"/>
        </w:rPr>
        <w:t>年部门预算总支出</w:t>
      </w:r>
      <w:r>
        <w:rPr>
          <w:rFonts w:hint="eastAsia" w:ascii="仿宋_GB2312" w:hAnsi="仿宋_GB2312" w:eastAsia="仿宋_GB2312" w:cs="仿宋_GB2312"/>
          <w:i w:val="0"/>
          <w:iCs w:val="0"/>
          <w:caps w:val="0"/>
          <w:color w:val="4A4A4A"/>
          <w:spacing w:val="0"/>
          <w:sz w:val="30"/>
          <w:szCs w:val="30"/>
          <w:shd w:val="clear" w:fill="FFFFFF"/>
          <w:lang w:val="en-US" w:eastAsia="zh-CN"/>
        </w:rPr>
        <w:t>347.04</w:t>
      </w:r>
      <w:r>
        <w:rPr>
          <w:rFonts w:hint="eastAsia" w:ascii="仿宋_GB2312" w:hAnsi="仿宋_GB2312" w:eastAsia="仿宋_GB2312" w:cs="仿宋_GB2312"/>
          <w:i w:val="0"/>
          <w:iCs w:val="0"/>
          <w:caps w:val="0"/>
          <w:color w:val="4A4A4A"/>
          <w:spacing w:val="0"/>
          <w:sz w:val="30"/>
          <w:szCs w:val="30"/>
          <w:shd w:val="clear" w:fill="FFFFFF"/>
        </w:rPr>
        <w:t>元，其中：基本支出</w:t>
      </w:r>
      <w:r>
        <w:rPr>
          <w:rFonts w:hint="eastAsia" w:ascii="仿宋_GB2312" w:hAnsi="仿宋_GB2312" w:eastAsia="仿宋_GB2312" w:cs="仿宋_GB2312"/>
          <w:i w:val="0"/>
          <w:iCs w:val="0"/>
          <w:caps w:val="0"/>
          <w:color w:val="4A4A4A"/>
          <w:spacing w:val="0"/>
          <w:sz w:val="30"/>
          <w:szCs w:val="30"/>
          <w:shd w:val="clear" w:fill="FFFFFF"/>
          <w:lang w:val="en-US" w:eastAsia="zh-CN"/>
        </w:rPr>
        <w:t>23.24</w:t>
      </w:r>
      <w:r>
        <w:rPr>
          <w:rFonts w:hint="eastAsia" w:ascii="仿宋_GB2312" w:hAnsi="仿宋_GB2312" w:eastAsia="仿宋_GB2312" w:cs="仿宋_GB2312"/>
          <w:i w:val="0"/>
          <w:iCs w:val="0"/>
          <w:caps w:val="0"/>
          <w:color w:val="4A4A4A"/>
          <w:spacing w:val="0"/>
          <w:sz w:val="30"/>
          <w:szCs w:val="30"/>
          <w:shd w:val="clear" w:fill="FFFFFF"/>
        </w:rPr>
        <w:t>万元、项目支出</w:t>
      </w:r>
      <w:r>
        <w:rPr>
          <w:rFonts w:hint="eastAsia" w:ascii="仿宋_GB2312" w:hAnsi="仿宋_GB2312" w:eastAsia="仿宋_GB2312" w:cs="仿宋_GB2312"/>
          <w:i w:val="0"/>
          <w:iCs w:val="0"/>
          <w:caps w:val="0"/>
          <w:color w:val="4A4A4A"/>
          <w:spacing w:val="0"/>
          <w:sz w:val="30"/>
          <w:szCs w:val="30"/>
          <w:shd w:val="clear" w:fill="FFFFFF"/>
          <w:lang w:val="en-US" w:eastAsia="zh-CN"/>
        </w:rPr>
        <w:t>323.8</w:t>
      </w:r>
      <w:r>
        <w:rPr>
          <w:rFonts w:hint="eastAsia" w:ascii="仿宋_GB2312" w:hAnsi="仿宋_GB2312" w:eastAsia="仿宋_GB2312" w:cs="仿宋_GB2312"/>
          <w:i w:val="0"/>
          <w:iCs w:val="0"/>
          <w:caps w:val="0"/>
          <w:color w:val="4A4A4A"/>
          <w:spacing w:val="0"/>
          <w:sz w:val="30"/>
          <w:szCs w:val="30"/>
          <w:shd w:val="clear" w:fill="FFFFFF"/>
        </w:rPr>
        <w:t>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2．年度收入情况。201</w:t>
      </w:r>
      <w:r>
        <w:rPr>
          <w:rFonts w:hint="eastAsia" w:ascii="仿宋_GB2312" w:hAnsi="仿宋_GB2312" w:eastAsia="仿宋_GB2312" w:cs="仿宋_GB2312"/>
          <w:i w:val="0"/>
          <w:iCs w:val="0"/>
          <w:caps w:val="0"/>
          <w:color w:val="4A4A4A"/>
          <w:spacing w:val="0"/>
          <w:sz w:val="30"/>
          <w:szCs w:val="30"/>
          <w:shd w:val="clear" w:fill="FFFFFF"/>
          <w:lang w:val="en-US" w:eastAsia="zh-CN"/>
        </w:rPr>
        <w:t>8</w:t>
      </w:r>
      <w:r>
        <w:rPr>
          <w:rFonts w:hint="eastAsia" w:ascii="仿宋_GB2312" w:hAnsi="仿宋_GB2312" w:eastAsia="仿宋_GB2312" w:cs="仿宋_GB2312"/>
          <w:i w:val="0"/>
          <w:iCs w:val="0"/>
          <w:caps w:val="0"/>
          <w:color w:val="4A4A4A"/>
          <w:spacing w:val="0"/>
          <w:sz w:val="30"/>
          <w:szCs w:val="30"/>
          <w:shd w:val="clear" w:fill="FFFFFF"/>
        </w:rPr>
        <w:t>年全年收入共计</w:t>
      </w:r>
      <w:r>
        <w:rPr>
          <w:rFonts w:hint="eastAsia" w:ascii="仿宋_GB2312" w:hAnsi="仿宋_GB2312" w:eastAsia="仿宋_GB2312" w:cs="仿宋_GB2312"/>
          <w:i w:val="0"/>
          <w:iCs w:val="0"/>
          <w:caps w:val="0"/>
          <w:color w:val="4A4A4A"/>
          <w:spacing w:val="0"/>
          <w:sz w:val="30"/>
          <w:szCs w:val="30"/>
          <w:shd w:val="clear" w:fill="FFFFFF"/>
          <w:lang w:val="en-US" w:eastAsia="zh-CN"/>
        </w:rPr>
        <w:t>347.04</w:t>
      </w:r>
      <w:r>
        <w:rPr>
          <w:rFonts w:hint="eastAsia" w:ascii="仿宋_GB2312" w:hAnsi="仿宋_GB2312" w:eastAsia="仿宋_GB2312" w:cs="仿宋_GB2312"/>
          <w:i w:val="0"/>
          <w:iCs w:val="0"/>
          <w:caps w:val="0"/>
          <w:color w:val="4A4A4A"/>
          <w:spacing w:val="0"/>
          <w:sz w:val="30"/>
          <w:szCs w:val="30"/>
          <w:shd w:val="clear" w:fill="FFFFFF"/>
        </w:rPr>
        <w:t>万元，其中：财政拨款收入</w:t>
      </w:r>
      <w:r>
        <w:rPr>
          <w:rFonts w:hint="eastAsia" w:ascii="仿宋_GB2312" w:hAnsi="仿宋_GB2312" w:eastAsia="仿宋_GB2312" w:cs="仿宋_GB2312"/>
          <w:i w:val="0"/>
          <w:iCs w:val="0"/>
          <w:caps w:val="0"/>
          <w:color w:val="4A4A4A"/>
          <w:spacing w:val="0"/>
          <w:sz w:val="30"/>
          <w:szCs w:val="30"/>
          <w:shd w:val="clear" w:fill="FFFFFF"/>
          <w:lang w:val="en-US" w:eastAsia="zh-CN"/>
        </w:rPr>
        <w:t>347.04</w:t>
      </w:r>
      <w:r>
        <w:rPr>
          <w:rFonts w:hint="eastAsia" w:ascii="仿宋_GB2312" w:hAnsi="仿宋_GB2312" w:eastAsia="仿宋_GB2312" w:cs="仿宋_GB2312"/>
          <w:i w:val="0"/>
          <w:iCs w:val="0"/>
          <w:caps w:val="0"/>
          <w:color w:val="4A4A4A"/>
          <w:spacing w:val="0"/>
          <w:sz w:val="30"/>
          <w:szCs w:val="30"/>
          <w:shd w:val="clear" w:fill="FFFFFF"/>
        </w:rPr>
        <w:t>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3．</w:t>
      </w:r>
      <w:r>
        <w:rPr>
          <w:rFonts w:hint="eastAsia" w:ascii="仿宋_GB2312" w:hAnsi="仿宋_GB2312" w:eastAsia="仿宋_GB2312" w:cs="仿宋_GB2312"/>
          <w:i w:val="0"/>
          <w:iCs w:val="0"/>
          <w:caps w:val="0"/>
          <w:color w:val="4A4A4A"/>
          <w:spacing w:val="0"/>
          <w:sz w:val="30"/>
          <w:szCs w:val="30"/>
          <w:shd w:val="clear" w:fill="FFFFFF"/>
          <w:lang w:val="en-US" w:eastAsia="zh-CN"/>
        </w:rPr>
        <w:t>2019</w:t>
      </w:r>
      <w:r>
        <w:rPr>
          <w:rFonts w:hint="eastAsia" w:ascii="仿宋_GB2312" w:hAnsi="仿宋_GB2312" w:eastAsia="仿宋_GB2312" w:cs="仿宋_GB2312"/>
          <w:i w:val="0"/>
          <w:iCs w:val="0"/>
          <w:caps w:val="0"/>
          <w:color w:val="4A4A4A"/>
          <w:spacing w:val="0"/>
          <w:sz w:val="30"/>
          <w:szCs w:val="30"/>
          <w:shd w:val="clear" w:fill="FFFFFF"/>
        </w:rPr>
        <w:t>年度</w:t>
      </w:r>
      <w:r>
        <w:rPr>
          <w:rFonts w:hint="eastAsia" w:ascii="仿宋_GB2312" w:hAnsi="仿宋_GB2312" w:eastAsia="仿宋_GB2312" w:cs="仿宋_GB2312"/>
          <w:i w:val="0"/>
          <w:iCs w:val="0"/>
          <w:caps w:val="0"/>
          <w:color w:val="4A4A4A"/>
          <w:spacing w:val="0"/>
          <w:sz w:val="30"/>
          <w:szCs w:val="30"/>
          <w:shd w:val="clear" w:fill="FFFFFF"/>
          <w:lang w:eastAsia="zh-CN"/>
        </w:rPr>
        <w:t>决算</w:t>
      </w:r>
      <w:r>
        <w:rPr>
          <w:rFonts w:hint="eastAsia" w:ascii="仿宋_GB2312" w:hAnsi="仿宋_GB2312" w:eastAsia="仿宋_GB2312" w:cs="仿宋_GB2312"/>
          <w:i w:val="0"/>
          <w:iCs w:val="0"/>
          <w:caps w:val="0"/>
          <w:color w:val="4A4A4A"/>
          <w:spacing w:val="0"/>
          <w:sz w:val="30"/>
          <w:szCs w:val="30"/>
          <w:shd w:val="clear" w:fill="FFFFFF"/>
        </w:rPr>
        <w:t>支出情况。2019年全年支出共计</w:t>
      </w:r>
      <w:r>
        <w:rPr>
          <w:rFonts w:hint="eastAsia" w:ascii="仿宋_GB2312" w:hAnsi="仿宋_GB2312" w:eastAsia="仿宋_GB2312" w:cs="仿宋_GB2312"/>
          <w:i w:val="0"/>
          <w:iCs w:val="0"/>
          <w:caps w:val="0"/>
          <w:color w:val="4A4A4A"/>
          <w:spacing w:val="0"/>
          <w:sz w:val="30"/>
          <w:szCs w:val="30"/>
          <w:shd w:val="clear" w:fill="FFFFFF"/>
          <w:lang w:val="en-US" w:eastAsia="zh-CN"/>
        </w:rPr>
        <w:t>329.2</w:t>
      </w:r>
      <w:r>
        <w:rPr>
          <w:rFonts w:hint="eastAsia" w:ascii="仿宋_GB2312" w:hAnsi="仿宋_GB2312" w:eastAsia="仿宋_GB2312" w:cs="仿宋_GB2312"/>
          <w:i w:val="0"/>
          <w:iCs w:val="0"/>
          <w:caps w:val="0"/>
          <w:color w:val="4A4A4A"/>
          <w:spacing w:val="0"/>
          <w:sz w:val="30"/>
          <w:szCs w:val="30"/>
          <w:shd w:val="clear" w:fill="FFFFFF"/>
        </w:rPr>
        <w:t>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right="0" w:firstLine="600" w:firstLineChars="200"/>
        <w:rPr>
          <w:rFonts w:hint="eastAsia" w:ascii="黑体" w:hAnsi="黑体" w:eastAsia="黑体" w:cs="黑体"/>
          <w:b w:val="0"/>
          <w:bCs/>
          <w:kern w:val="2"/>
          <w:sz w:val="30"/>
          <w:szCs w:val="30"/>
          <w:lang w:val="en-US" w:eastAsia="zh-CN" w:bidi="ar-SA"/>
        </w:rPr>
      </w:pPr>
      <w:r>
        <w:rPr>
          <w:rFonts w:hint="eastAsia" w:ascii="黑体" w:hAnsi="黑体" w:eastAsia="黑体" w:cs="黑体"/>
          <w:b w:val="0"/>
          <w:bCs/>
          <w:kern w:val="2"/>
          <w:sz w:val="30"/>
          <w:szCs w:val="30"/>
          <w:lang w:val="en-US" w:eastAsia="zh-CN" w:bidi="ar-SA"/>
        </w:rPr>
        <w:t>（四）部门预算管理制度建设情况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 </w:t>
      </w:r>
      <w:r>
        <w:rPr>
          <w:rFonts w:hint="eastAsia" w:ascii="仿宋_GB2312" w:hAnsi="仿宋_GB2312" w:eastAsia="仿宋_GB2312" w:cs="仿宋_GB2312"/>
          <w:i w:val="0"/>
          <w:iCs w:val="0"/>
          <w:caps w:val="0"/>
          <w:color w:val="4A4A4A"/>
          <w:spacing w:val="0"/>
          <w:sz w:val="30"/>
          <w:szCs w:val="30"/>
          <w:shd w:val="clear" w:fill="FFFFFF"/>
        </w:rPr>
        <w:t>为适应新形势下部门预算管理要求，</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重视加强部门预算管理制度建设，制定了《财务财产管理制度》、《收支业务管理制度》、《预算业务管理制度》《资产管理制度》等，全</w:t>
      </w:r>
      <w:r>
        <w:rPr>
          <w:rFonts w:hint="eastAsia" w:ascii="仿宋_GB2312" w:hAnsi="仿宋_GB2312" w:eastAsia="仿宋_GB2312" w:cs="仿宋_GB2312"/>
          <w:i w:val="0"/>
          <w:iCs w:val="0"/>
          <w:caps w:val="0"/>
          <w:color w:val="4A4A4A"/>
          <w:spacing w:val="0"/>
          <w:sz w:val="30"/>
          <w:szCs w:val="30"/>
          <w:shd w:val="clear" w:fill="FFFFFF"/>
          <w:lang w:eastAsia="zh-CN"/>
        </w:rPr>
        <w:t>办</w:t>
      </w:r>
      <w:r>
        <w:rPr>
          <w:rFonts w:hint="eastAsia" w:ascii="仿宋_GB2312" w:hAnsi="仿宋_GB2312" w:eastAsia="仿宋_GB2312" w:cs="仿宋_GB2312"/>
          <w:i w:val="0"/>
          <w:iCs w:val="0"/>
          <w:caps w:val="0"/>
          <w:color w:val="4A4A4A"/>
          <w:spacing w:val="0"/>
          <w:sz w:val="30"/>
          <w:szCs w:val="30"/>
          <w:shd w:val="clear" w:fill="FFFFFF"/>
        </w:rPr>
        <w:t>的预算财务管理工作做到有制度可依，在制度管理的范围内执行。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kern w:val="2"/>
          <w:sz w:val="30"/>
          <w:szCs w:val="30"/>
          <w:lang w:val="en-US" w:eastAsia="zh-CN" w:bidi="ar-SA"/>
        </w:rPr>
        <w:t>　</w:t>
      </w:r>
      <w:r>
        <w:rPr>
          <w:rFonts w:hint="eastAsia" w:ascii="黑体" w:hAnsi="Times New Roman" w:eastAsia="黑体" w:cs="Times New Roman"/>
          <w:kern w:val="2"/>
          <w:sz w:val="32"/>
          <w:szCs w:val="32"/>
          <w:lang w:val="en-US" w:eastAsia="zh-CN" w:bidi="ar-SA"/>
        </w:rPr>
        <w:t>二、绩效自评实施情况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（一）绩效自评目的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通过对我单位预算支出绩效目标的设置情况、资金使用情况、资金实施管理情况、整体支出绩效表现情况进行自我评价，了解资金使用是否达到了预期目标、资金管理是否规范、资金使用是否有效，检验资金支出效率和效果，分析存在的问题和原因，及时总结经验，改进管理措施，切实提高我单位的管理水平、财政资金使用效益和工作效率，并将评价结果作为改进</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预算管理和安排以后年度预算的重要依据。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（二）自评指标体系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详见</w:t>
      </w:r>
      <w:r>
        <w:rPr>
          <w:rFonts w:hint="eastAsia" w:ascii="仿宋_GB2312" w:hAnsi="仿宋_GB2312" w:eastAsia="仿宋_GB2312" w:cs="仿宋_GB2312"/>
          <w:i w:val="0"/>
          <w:iCs w:val="0"/>
          <w:caps w:val="0"/>
          <w:color w:val="4A4A4A"/>
          <w:spacing w:val="0"/>
          <w:sz w:val="30"/>
          <w:szCs w:val="30"/>
          <w:shd w:val="clear" w:fill="FFFFFF"/>
          <w:lang w:eastAsia="zh-CN"/>
        </w:rPr>
        <w:t>附件“</w:t>
      </w:r>
      <w:r>
        <w:rPr>
          <w:rFonts w:hint="eastAsia" w:ascii="仿宋_GB2312" w:hAnsi="仿宋_GB2312" w:eastAsia="仿宋_GB2312" w:cs="仿宋_GB2312"/>
          <w:i w:val="0"/>
          <w:iCs w:val="0"/>
          <w:caps w:val="0"/>
          <w:color w:val="4A4A4A"/>
          <w:spacing w:val="0"/>
          <w:sz w:val="30"/>
          <w:szCs w:val="30"/>
          <w:shd w:val="clear" w:fill="FFFFFF"/>
          <w:lang w:val="en-US" w:eastAsia="zh-CN"/>
        </w:rPr>
        <w:t>2018</w:t>
      </w:r>
      <w:r>
        <w:rPr>
          <w:rFonts w:hint="eastAsia" w:ascii="仿宋_GB2312" w:hAnsi="仿宋_GB2312" w:eastAsia="仿宋_GB2312" w:cs="仿宋_GB2312"/>
          <w:i w:val="0"/>
          <w:iCs w:val="0"/>
          <w:caps w:val="0"/>
          <w:color w:val="4A4A4A"/>
          <w:spacing w:val="0"/>
          <w:sz w:val="30"/>
          <w:szCs w:val="30"/>
          <w:shd w:val="clear" w:fill="FFFFFF"/>
        </w:rPr>
        <w:t>部门整体支出绩效</w:t>
      </w:r>
      <w:r>
        <w:rPr>
          <w:rFonts w:hint="eastAsia" w:ascii="仿宋_GB2312" w:hAnsi="仿宋_GB2312" w:eastAsia="仿宋_GB2312" w:cs="仿宋_GB2312"/>
          <w:i w:val="0"/>
          <w:iCs w:val="0"/>
          <w:caps w:val="0"/>
          <w:color w:val="4A4A4A"/>
          <w:spacing w:val="0"/>
          <w:sz w:val="30"/>
          <w:szCs w:val="30"/>
          <w:shd w:val="clear" w:fill="FFFFFF"/>
          <w:lang w:eastAsia="zh-CN"/>
        </w:rPr>
        <w:t>自评表”</w:t>
      </w:r>
      <w:r>
        <w:rPr>
          <w:rFonts w:hint="eastAsia" w:ascii="仿宋_GB2312" w:hAnsi="仿宋_GB2312" w:eastAsia="仿宋_GB2312" w:cs="仿宋_GB2312"/>
          <w:i w:val="0"/>
          <w:iCs w:val="0"/>
          <w:caps w:val="0"/>
          <w:color w:val="4A4A4A"/>
          <w:spacing w:val="0"/>
          <w:sz w:val="30"/>
          <w:szCs w:val="3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（三）自评组织过程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1.前期准备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根据文件精神及各项文件规定，明确了我单位评价的实施方式、目的、内容、依据、时间及要求方面的情况。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2.组织实施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第一、根据单位201</w:t>
      </w:r>
      <w:r>
        <w:rPr>
          <w:rFonts w:hint="eastAsia" w:ascii="仿宋_GB2312" w:hAnsi="仿宋_GB2312" w:eastAsia="仿宋_GB2312" w:cs="仿宋_GB2312"/>
          <w:i w:val="0"/>
          <w:iCs w:val="0"/>
          <w:caps w:val="0"/>
          <w:color w:val="4A4A4A"/>
          <w:spacing w:val="0"/>
          <w:sz w:val="30"/>
          <w:szCs w:val="30"/>
          <w:shd w:val="clear" w:fill="FFFFFF"/>
          <w:lang w:val="en-US" w:eastAsia="zh-CN"/>
        </w:rPr>
        <w:t>8</w:t>
      </w:r>
      <w:r>
        <w:rPr>
          <w:rFonts w:hint="eastAsia" w:ascii="仿宋_GB2312" w:hAnsi="仿宋_GB2312" w:eastAsia="仿宋_GB2312" w:cs="仿宋_GB2312"/>
          <w:i w:val="0"/>
          <w:iCs w:val="0"/>
          <w:caps w:val="0"/>
          <w:color w:val="4A4A4A"/>
          <w:spacing w:val="0"/>
          <w:sz w:val="30"/>
          <w:szCs w:val="30"/>
          <w:shd w:val="clear" w:fill="FFFFFF"/>
        </w:rPr>
        <w:t>年的整体支出绩效情况，制定了</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评价指标体系。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第二、按评价时间、要求，开展我单位201</w:t>
      </w:r>
      <w:r>
        <w:rPr>
          <w:rFonts w:hint="eastAsia" w:ascii="仿宋_GB2312" w:hAnsi="仿宋_GB2312" w:eastAsia="仿宋_GB2312" w:cs="仿宋_GB2312"/>
          <w:i w:val="0"/>
          <w:iCs w:val="0"/>
          <w:caps w:val="0"/>
          <w:color w:val="4A4A4A"/>
          <w:spacing w:val="0"/>
          <w:sz w:val="30"/>
          <w:szCs w:val="30"/>
          <w:shd w:val="clear" w:fill="FFFFFF"/>
          <w:lang w:val="en-US" w:eastAsia="zh-CN"/>
        </w:rPr>
        <w:t>8</w:t>
      </w:r>
      <w:r>
        <w:rPr>
          <w:rFonts w:hint="eastAsia" w:ascii="仿宋_GB2312" w:hAnsi="仿宋_GB2312" w:eastAsia="仿宋_GB2312" w:cs="仿宋_GB2312"/>
          <w:i w:val="0"/>
          <w:iCs w:val="0"/>
          <w:caps w:val="0"/>
          <w:color w:val="4A4A4A"/>
          <w:spacing w:val="0"/>
          <w:sz w:val="30"/>
          <w:szCs w:val="30"/>
          <w:shd w:val="clear" w:fill="FFFFFF"/>
        </w:rPr>
        <w:t>年整体支出绩效自评工作。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第三、按参考提纲撰写绩效自评报告。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黑体" w:hAnsi="Times New Roman" w:eastAsia="黑体" w:cs="Times New Roman"/>
          <w:kern w:val="2"/>
          <w:sz w:val="32"/>
          <w:szCs w:val="32"/>
          <w:lang w:val="en-US" w:eastAsia="zh-CN" w:bidi="ar-SA"/>
        </w:rPr>
      </w:pPr>
      <w:r>
        <w:rPr>
          <w:rFonts w:hint="eastAsia" w:ascii="黑体" w:hAnsi="Times New Roman" w:eastAsia="黑体" w:cs="Times New Roman"/>
          <w:kern w:val="2"/>
          <w:sz w:val="32"/>
          <w:szCs w:val="32"/>
          <w:lang w:val="en-US" w:eastAsia="zh-CN" w:bidi="ar-SA"/>
        </w:rPr>
        <w:t>　　三、评价情况分析及综合评价结论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根据文件精神，我单位组织开展了201</w:t>
      </w:r>
      <w:r>
        <w:rPr>
          <w:rFonts w:hint="eastAsia" w:ascii="仿宋_GB2312" w:hAnsi="仿宋_GB2312" w:eastAsia="仿宋_GB2312" w:cs="仿宋_GB2312"/>
          <w:i w:val="0"/>
          <w:iCs w:val="0"/>
          <w:caps w:val="0"/>
          <w:color w:val="4A4A4A"/>
          <w:spacing w:val="0"/>
          <w:sz w:val="30"/>
          <w:szCs w:val="30"/>
          <w:shd w:val="clear" w:fill="FFFFFF"/>
          <w:lang w:val="en-US" w:eastAsia="zh-CN"/>
        </w:rPr>
        <w:t>8</w:t>
      </w:r>
      <w:r>
        <w:rPr>
          <w:rFonts w:hint="eastAsia" w:ascii="仿宋_GB2312" w:hAnsi="仿宋_GB2312" w:eastAsia="仿宋_GB2312" w:cs="仿宋_GB2312"/>
          <w:i w:val="0"/>
          <w:iCs w:val="0"/>
          <w:caps w:val="0"/>
          <w:color w:val="4A4A4A"/>
          <w:spacing w:val="0"/>
          <w:sz w:val="30"/>
          <w:szCs w:val="30"/>
          <w:shd w:val="clear" w:fill="FFFFFF"/>
        </w:rPr>
        <w:t>年度部门整体支出绩效评价工作，对201</w:t>
      </w:r>
      <w:r>
        <w:rPr>
          <w:rFonts w:hint="eastAsia" w:ascii="仿宋_GB2312" w:hAnsi="仿宋_GB2312" w:eastAsia="仿宋_GB2312" w:cs="仿宋_GB2312"/>
          <w:i w:val="0"/>
          <w:iCs w:val="0"/>
          <w:caps w:val="0"/>
          <w:color w:val="4A4A4A"/>
          <w:spacing w:val="0"/>
          <w:sz w:val="30"/>
          <w:szCs w:val="30"/>
          <w:shd w:val="clear" w:fill="FFFFFF"/>
          <w:lang w:val="en-US" w:eastAsia="zh-CN"/>
        </w:rPr>
        <w:t>8</w:t>
      </w:r>
      <w:r>
        <w:rPr>
          <w:rFonts w:hint="eastAsia" w:ascii="仿宋_GB2312" w:hAnsi="仿宋_GB2312" w:eastAsia="仿宋_GB2312" w:cs="仿宋_GB2312"/>
          <w:i w:val="0"/>
          <w:iCs w:val="0"/>
          <w:caps w:val="0"/>
          <w:color w:val="4A4A4A"/>
          <w:spacing w:val="0"/>
          <w:sz w:val="30"/>
          <w:szCs w:val="30"/>
          <w:shd w:val="clear" w:fill="FFFFFF"/>
        </w:rPr>
        <w:t>年度财政预算资金进行整体绩效评价，根据设定的绩效目标，运用合理的评价方法，对预算资金支出经济性、效率性、有效性和可持性进行客观、公正的评价。我单位对财政专项资金的分配、使用和管理按照先有办法、后分资金；专款专用、独立核算；统一支付、严格把关的原则进行管理。严格执行预算，规范了资金审批和支付程序，提高了资金的使用效率。认真开展专项资金绩效管理，在资金分配中的项目申报、评审和安排，均按规定严格执行，各项重点项目资金安排都保证及时到位，每一笔收支都做到有依据、有凭证、有程序。确保专项资金依法管理与使用。根据整体绩效评价指标体系，我单位自评等级为“优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黑体" w:hAnsi="Times New Roman" w:eastAsia="黑体" w:cs="Times New Roman"/>
          <w:kern w:val="2"/>
          <w:sz w:val="32"/>
          <w:szCs w:val="32"/>
          <w:lang w:val="en-US" w:eastAsia="zh-CN" w:bidi="ar-SA"/>
        </w:rPr>
        <w:t>　四、存在的问题和下一步工作建议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1</w:t>
      </w:r>
      <w:r>
        <w:rPr>
          <w:rFonts w:hint="eastAsia" w:ascii="仿宋_GB2312" w:hAnsi="仿宋_GB2312" w:eastAsia="仿宋_GB2312" w:cs="仿宋_GB2312"/>
          <w:i w:val="0"/>
          <w:iCs w:val="0"/>
          <w:caps w:val="0"/>
          <w:color w:val="4A4A4A"/>
          <w:spacing w:val="0"/>
          <w:sz w:val="30"/>
          <w:szCs w:val="30"/>
          <w:shd w:val="clear" w:fill="FFFFFF"/>
        </w:rPr>
        <w:t>.对现行的预算绩效管理不适应。随着财政改革步伐的推进，预算绩效管理在财政改革中的地位与角色更加凸显，而当前绩效管理没有成熟模式，没有专业绩效管理人员，缺乏专业知识和相应的工作经验。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2</w:t>
      </w:r>
      <w:r>
        <w:rPr>
          <w:rFonts w:hint="eastAsia" w:ascii="仿宋_GB2312" w:hAnsi="仿宋_GB2312" w:eastAsia="仿宋_GB2312" w:cs="仿宋_GB2312"/>
          <w:i w:val="0"/>
          <w:iCs w:val="0"/>
          <w:caps w:val="0"/>
          <w:color w:val="4A4A4A"/>
          <w:spacing w:val="0"/>
          <w:sz w:val="30"/>
          <w:szCs w:val="30"/>
          <w:shd w:val="clear" w:fill="FFFFFF"/>
        </w:rPr>
        <w:t>.希望财政部门能进一步对绩效管理进行培训，提高绩效工作水平。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黑体" w:hAnsi="Times New Roman" w:eastAsia="黑体" w:cs="Times New Roman"/>
          <w:kern w:val="2"/>
          <w:sz w:val="32"/>
          <w:szCs w:val="32"/>
          <w:lang w:val="en-US" w:eastAsia="zh-CN" w:bidi="ar-SA"/>
        </w:rPr>
        <w:t>　五、绩效自评结果应用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单位的预算项目资金全面绩效评价结果，将作为改进预算管理和安排以后年度预算的重要依据。在今后编制预算时，不断完善绩效评价指标，及时调整和优化我单位后续项目和以后年度预算支出的方向和结构，合理配置资源，加强财务管理，完善项目管理办法，切实提高项目管理水平、财政资金使用效益和部门工作效率。针对财政局的反馈意见，认真落实整改意见。加强资金使用的监管和跟踪，完善内部控制制度，明确责任，重视财政资金使用的绩效评价，用有限的资金履行机关事务局“管理、服务、保障”的工作职责，积极稳妥地推进</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工作向前发展。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tabs>
          <w:tab w:val="left" w:pos="7323"/>
        </w:tabs>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黑体" w:hAnsi="Times New Roman" w:eastAsia="黑体" w:cs="Times New Roman"/>
          <w:kern w:val="2"/>
          <w:sz w:val="32"/>
          <w:szCs w:val="32"/>
          <w:lang w:val="en-US" w:eastAsia="zh-CN" w:bidi="ar-SA"/>
        </w:rPr>
        <w:t>　六、主要经验及做法</w:t>
      </w:r>
      <w:r>
        <w:rPr>
          <w:rFonts w:hint="eastAsia" w:ascii="黑体" w:hAnsi="Times New Roman" w:eastAsia="黑体" w:cs="Times New Roman"/>
          <w:kern w:val="2"/>
          <w:sz w:val="32"/>
          <w:szCs w:val="32"/>
          <w:lang w:val="en-US" w:eastAsia="zh-CN" w:bidi="ar-SA"/>
        </w:rPr>
        <w:tab/>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宋体" w:hAnsi="宋体" w:eastAsia="宋体" w:cs="宋体"/>
          <w:i w:val="0"/>
          <w:iCs w:val="0"/>
          <w:caps w:val="0"/>
          <w:color w:val="4A4A4A"/>
          <w:spacing w:val="0"/>
          <w:sz w:val="24"/>
          <w:szCs w:val="24"/>
          <w:shd w:val="clear" w:fill="FFFFFF"/>
        </w:rPr>
        <w:t>　　</w:t>
      </w:r>
      <w:r>
        <w:rPr>
          <w:rFonts w:hint="eastAsia" w:ascii="仿宋_GB2312" w:hAnsi="仿宋_GB2312" w:eastAsia="仿宋_GB2312" w:cs="仿宋_GB2312"/>
          <w:i w:val="0"/>
          <w:iCs w:val="0"/>
          <w:caps w:val="0"/>
          <w:color w:val="4A4A4A"/>
          <w:spacing w:val="0"/>
          <w:sz w:val="30"/>
          <w:szCs w:val="30"/>
          <w:shd w:val="clear" w:fill="FFFFFF"/>
        </w:rPr>
        <w:t>1.细化预算编制工作，认真做好预算的编制。进一步加强内部预算管理意识，严格按照预算编制的相关制度和要求进行预算编制；全面编制预算项目，优先保障固定性的、相对刚性的费用支出项目，进一步提高预算编制的科学性、严谨性和可控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2.加强财务管理，严格财务审核。在费用报账支付时，按照预算规定的费用项目和用途进行资金使用审核、列报支付、财务核算，杜绝超支现象的发生。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3.加强项目开展进度的跟踪，开展项目绩效评价，确保项目绩效目标的完成。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right"/>
        <w:rPr>
          <w:rFonts w:hint="eastAsia" w:ascii="宋体" w:hAnsi="宋体" w:eastAsia="宋体" w:cs="宋体"/>
          <w:i w:val="0"/>
          <w:iCs w:val="0"/>
          <w:caps w:val="0"/>
          <w:color w:val="4A4A4A"/>
          <w:spacing w:val="0"/>
          <w:sz w:val="24"/>
          <w:szCs w:val="24"/>
          <w:shd w:val="clear" w:fill="FFFFFF"/>
        </w:rPr>
      </w:pPr>
      <w:r>
        <w:rPr>
          <w:rFonts w:hint="eastAsia" w:ascii="宋体" w:hAnsi="宋体" w:eastAsia="宋体" w:cs="宋体"/>
          <w:i w:val="0"/>
          <w:iCs w:val="0"/>
          <w:caps w:val="0"/>
          <w:color w:val="4A4A4A"/>
          <w:spacing w:val="0"/>
          <w:sz w:val="24"/>
          <w:szCs w:val="24"/>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right"/>
        <w:rPr>
          <w:rFonts w:hint="eastAsia" w:ascii="宋体" w:hAnsi="宋体" w:eastAsia="宋体" w:cs="宋体"/>
          <w:i w:val="0"/>
          <w:iCs w:val="0"/>
          <w:caps w:val="0"/>
          <w:color w:val="4A4A4A"/>
          <w:spacing w:val="0"/>
          <w:sz w:val="24"/>
          <w:szCs w:val="24"/>
          <w:shd w:val="clear" w:fill="FFFFFF"/>
          <w:lang w:eastAsia="zh-CN"/>
        </w:rPr>
      </w:pPr>
      <w:r>
        <w:rPr>
          <w:rFonts w:hint="eastAsia" w:ascii="宋体" w:hAnsi="宋体" w:eastAsia="宋体" w:cs="宋体"/>
          <w:i w:val="0"/>
          <w:iCs w:val="0"/>
          <w:caps w:val="0"/>
          <w:color w:val="4A4A4A"/>
          <w:spacing w:val="0"/>
          <w:sz w:val="24"/>
          <w:szCs w:val="24"/>
          <w:shd w:val="clear" w:fill="FFFFFF"/>
          <w:lang w:eastAsia="zh-CN"/>
        </w:rPr>
        <w:t>大余县接待办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right"/>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20</w:t>
      </w:r>
      <w:r>
        <w:rPr>
          <w:rFonts w:hint="eastAsia" w:ascii="宋体" w:hAnsi="宋体" w:eastAsia="宋体" w:cs="宋体"/>
          <w:i w:val="0"/>
          <w:iCs w:val="0"/>
          <w:caps w:val="0"/>
          <w:color w:val="4A4A4A"/>
          <w:spacing w:val="0"/>
          <w:sz w:val="24"/>
          <w:szCs w:val="24"/>
          <w:shd w:val="clear" w:fill="FFFFFF"/>
          <w:lang w:val="en-US" w:eastAsia="zh-CN"/>
        </w:rPr>
        <w:t>19</w:t>
      </w:r>
      <w:r>
        <w:rPr>
          <w:rFonts w:hint="eastAsia" w:ascii="宋体" w:hAnsi="宋体" w:eastAsia="宋体" w:cs="宋体"/>
          <w:i w:val="0"/>
          <w:iCs w:val="0"/>
          <w:caps w:val="0"/>
          <w:color w:val="4A4A4A"/>
          <w:spacing w:val="0"/>
          <w:sz w:val="24"/>
          <w:szCs w:val="24"/>
          <w:shd w:val="clear" w:fill="FFFFFF"/>
        </w:rPr>
        <w:t>年</w:t>
      </w:r>
      <w:r>
        <w:rPr>
          <w:rFonts w:hint="eastAsia" w:ascii="宋体" w:hAnsi="宋体" w:eastAsia="宋体" w:cs="宋体"/>
          <w:i w:val="0"/>
          <w:iCs w:val="0"/>
          <w:caps w:val="0"/>
          <w:color w:val="4A4A4A"/>
          <w:spacing w:val="0"/>
          <w:sz w:val="24"/>
          <w:szCs w:val="24"/>
          <w:shd w:val="clear" w:fill="FFFFFF"/>
          <w:lang w:val="en-US" w:eastAsia="zh-CN"/>
        </w:rPr>
        <w:t>1</w:t>
      </w:r>
      <w:r>
        <w:rPr>
          <w:rFonts w:hint="eastAsia" w:ascii="宋体" w:hAnsi="宋体" w:eastAsia="宋体" w:cs="宋体"/>
          <w:i w:val="0"/>
          <w:iCs w:val="0"/>
          <w:caps w:val="0"/>
          <w:color w:val="4A4A4A"/>
          <w:spacing w:val="0"/>
          <w:sz w:val="24"/>
          <w:szCs w:val="24"/>
          <w:shd w:val="clear" w:fill="FFFFFF"/>
        </w:rPr>
        <w:t>月</w:t>
      </w:r>
      <w:r>
        <w:rPr>
          <w:rFonts w:hint="eastAsia" w:ascii="宋体" w:hAnsi="宋体" w:eastAsia="宋体" w:cs="宋体"/>
          <w:i w:val="0"/>
          <w:iCs w:val="0"/>
          <w:caps w:val="0"/>
          <w:color w:val="4A4A4A"/>
          <w:spacing w:val="0"/>
          <w:sz w:val="24"/>
          <w:szCs w:val="24"/>
          <w:shd w:val="clear" w:fill="FFFFFF"/>
          <w:lang w:val="en-US" w:eastAsia="zh-CN"/>
        </w:rPr>
        <w:t>15</w:t>
      </w:r>
      <w:r>
        <w:rPr>
          <w:rFonts w:hint="eastAsia" w:ascii="宋体" w:hAnsi="宋体" w:eastAsia="宋体" w:cs="宋体"/>
          <w:i w:val="0"/>
          <w:iCs w:val="0"/>
          <w:caps w:val="0"/>
          <w:color w:val="4A4A4A"/>
          <w:spacing w:val="0"/>
          <w:sz w:val="24"/>
          <w:szCs w:val="24"/>
          <w:shd w:val="clear" w:fill="FFFFFF"/>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zM2U2NjY4ZDBjN2I0ZDQ0MzhjYWJlZjc4YjMxOTUifQ=="/>
  </w:docVars>
  <w:rsids>
    <w:rsidRoot w:val="67F42974"/>
    <w:rsid w:val="01A827E3"/>
    <w:rsid w:val="02F75247"/>
    <w:rsid w:val="035E5A49"/>
    <w:rsid w:val="03A2368A"/>
    <w:rsid w:val="119A0EF7"/>
    <w:rsid w:val="135F073F"/>
    <w:rsid w:val="153A44C3"/>
    <w:rsid w:val="15F2376A"/>
    <w:rsid w:val="171A09E0"/>
    <w:rsid w:val="23BD048B"/>
    <w:rsid w:val="260F3C48"/>
    <w:rsid w:val="276F0F19"/>
    <w:rsid w:val="286B0DBB"/>
    <w:rsid w:val="2A6D2020"/>
    <w:rsid w:val="2AD875B9"/>
    <w:rsid w:val="2CD103BD"/>
    <w:rsid w:val="2D225D00"/>
    <w:rsid w:val="2E4872D0"/>
    <w:rsid w:val="2ED03BB9"/>
    <w:rsid w:val="2EDA1399"/>
    <w:rsid w:val="30327E22"/>
    <w:rsid w:val="31A80750"/>
    <w:rsid w:val="338E0DE0"/>
    <w:rsid w:val="35B711D2"/>
    <w:rsid w:val="387007AE"/>
    <w:rsid w:val="3D9976A2"/>
    <w:rsid w:val="3F617F3D"/>
    <w:rsid w:val="4224799C"/>
    <w:rsid w:val="42A3273A"/>
    <w:rsid w:val="43BB7993"/>
    <w:rsid w:val="447F2642"/>
    <w:rsid w:val="45746466"/>
    <w:rsid w:val="47465206"/>
    <w:rsid w:val="48AC29E5"/>
    <w:rsid w:val="4B504AA3"/>
    <w:rsid w:val="4B680B7D"/>
    <w:rsid w:val="4C3A5C6E"/>
    <w:rsid w:val="50F847B4"/>
    <w:rsid w:val="553B70A3"/>
    <w:rsid w:val="55512953"/>
    <w:rsid w:val="5A0273F4"/>
    <w:rsid w:val="5B0B2BE7"/>
    <w:rsid w:val="5B4316D4"/>
    <w:rsid w:val="5DA776AA"/>
    <w:rsid w:val="5EA60E83"/>
    <w:rsid w:val="60BC5322"/>
    <w:rsid w:val="60F210CF"/>
    <w:rsid w:val="62B55F4A"/>
    <w:rsid w:val="65146F73"/>
    <w:rsid w:val="67EE75C8"/>
    <w:rsid w:val="67F42974"/>
    <w:rsid w:val="69477FE8"/>
    <w:rsid w:val="69A17A20"/>
    <w:rsid w:val="6BA918F3"/>
    <w:rsid w:val="6D8717EE"/>
    <w:rsid w:val="6DBB147C"/>
    <w:rsid w:val="6DCD4A6F"/>
    <w:rsid w:val="716807D3"/>
    <w:rsid w:val="71BA01EC"/>
    <w:rsid w:val="79A64663"/>
    <w:rsid w:val="79A855A4"/>
    <w:rsid w:val="7A966490"/>
    <w:rsid w:val="7F8B5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2021-05-13T09:30:00Z</dcterms:created>
  <dc:creator>Administrator</dc:creator>
  <cp:lastModifiedBy>Administrator</cp:lastModifiedBy>
  <dcterms:modified xsi:type="dcterms:W3CDTF">2024-03-27T02:17:37Z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C0449ADC30E246B0996B36C41A28DC91</vt:lpwstr>
  </property>
</Properties>
</file>