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eastAsia" w:ascii="方正小标宋简体" w:hAnsi="仿宋" w:eastAsia="方正小标宋简体"/>
          <w:sz w:val="44"/>
          <w:szCs w:val="44"/>
        </w:rPr>
      </w:pPr>
      <w:r>
        <w:rPr>
          <w:rFonts w:hint="eastAsia" w:ascii="方正小标宋简体" w:hAnsi="仿宋" w:eastAsia="方正小标宋简体"/>
          <w:sz w:val="44"/>
          <w:szCs w:val="44"/>
          <w:lang w:eastAsia="zh-CN"/>
        </w:rPr>
        <w:t>大余县审计局</w:t>
      </w:r>
      <w:r>
        <w:rPr>
          <w:rFonts w:hint="eastAsia" w:ascii="方正小标宋简体" w:hAnsi="仿宋" w:eastAsia="方正小标宋简体"/>
          <w:sz w:val="44"/>
          <w:szCs w:val="44"/>
        </w:rPr>
        <w:t>部门整体支出绩效自评报告</w:t>
      </w:r>
    </w:p>
    <w:p>
      <w:pPr>
        <w:spacing w:line="420" w:lineRule="exact"/>
        <w:jc w:val="center"/>
        <w:rPr>
          <w:rFonts w:hint="eastAsia" w:ascii="仿宋" w:hAnsi="仿宋" w:eastAsia="仿宋"/>
          <w:sz w:val="32"/>
          <w:szCs w:val="32"/>
        </w:rPr>
      </w:pPr>
    </w:p>
    <w:p>
      <w:pPr>
        <w:keepNext w:val="0"/>
        <w:keepLines w:val="0"/>
        <w:pageBreakBefore w:val="0"/>
        <w:widowControl w:val="0"/>
        <w:numPr>
          <w:ilvl w:val="0"/>
          <w:numId w:val="1"/>
        </w:numPr>
        <w:kinsoku/>
        <w:wordWrap/>
        <w:overflowPunct/>
        <w:topLinePunct w:val="0"/>
        <w:autoSpaceDE/>
        <w:autoSpaceDN/>
        <w:bidi w:val="0"/>
        <w:adjustRightInd/>
        <w:snapToGrid/>
        <w:spacing w:line="620" w:lineRule="exact"/>
        <w:ind w:left="0" w:leftChars="0" w:firstLine="640" w:firstLineChars="200"/>
        <w:textAlignment w:val="auto"/>
        <w:rPr>
          <w:rFonts w:hint="eastAsia" w:ascii="黑体" w:hAnsi="黑体" w:eastAsia="黑体"/>
          <w:sz w:val="32"/>
          <w:szCs w:val="32"/>
        </w:rPr>
      </w:pPr>
      <w:r>
        <w:rPr>
          <w:rFonts w:hint="eastAsia" w:ascii="黑体" w:hAnsi="黑体" w:eastAsia="黑体"/>
          <w:sz w:val="32"/>
          <w:szCs w:val="32"/>
        </w:rPr>
        <w:t>部门概况</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left="0" w:firstLine="643" w:firstLineChars="200"/>
        <w:textAlignment w:val="auto"/>
        <w:rPr>
          <w:rFonts w:hint="eastAsia" w:ascii="楷体" w:hAnsi="楷体" w:eastAsia="楷体"/>
          <w:b/>
          <w:sz w:val="32"/>
          <w:szCs w:val="32"/>
        </w:rPr>
      </w:pPr>
      <w:r>
        <w:rPr>
          <w:rFonts w:hint="eastAsia" w:ascii="楷体" w:hAnsi="楷体" w:eastAsia="楷体"/>
          <w:b/>
          <w:sz w:val="32"/>
          <w:szCs w:val="32"/>
        </w:rPr>
        <w:t>（一）部门基本情况</w:t>
      </w:r>
    </w:p>
    <w:p>
      <w:pPr>
        <w:keepNext w:val="0"/>
        <w:keepLines w:val="0"/>
        <w:pageBreakBefore w:val="0"/>
        <w:widowControl w:val="0"/>
        <w:kinsoku/>
        <w:wordWrap/>
        <w:overflowPunct/>
        <w:topLinePunct w:val="0"/>
        <w:autoSpaceDE/>
        <w:autoSpaceDN/>
        <w:bidi w:val="0"/>
        <w:adjustRightInd/>
        <w:snapToGrid/>
        <w:spacing w:line="62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1.部门组织机构及人员</w:t>
      </w:r>
    </w:p>
    <w:p>
      <w:pPr>
        <w:keepNext w:val="0"/>
        <w:keepLines w:val="0"/>
        <w:pageBreakBefore w:val="0"/>
        <w:widowControl w:val="0"/>
        <w:kinsoku/>
        <w:wordWrap/>
        <w:overflowPunct/>
        <w:topLinePunct w:val="0"/>
        <w:autoSpaceDE/>
        <w:autoSpaceDN/>
        <w:bidi w:val="0"/>
        <w:adjustRightInd/>
        <w:snapToGrid/>
        <w:spacing w:line="620" w:lineRule="exact"/>
        <w:ind w:left="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2018年，大余县审计局部门纳入部门决算汇编范围的独立核算单位1</w:t>
      </w:r>
      <w:r>
        <w:rPr>
          <w:rFonts w:hint="eastAsia" w:ascii="仿宋_GB2312" w:hAnsi="仿宋_GB2312" w:eastAsia="仿宋_GB2312" w:cs="仿宋_GB2312"/>
          <w:sz w:val="32"/>
          <w:szCs w:val="32"/>
        </w:rPr>
        <w:t>个</w:t>
      </w:r>
      <w:r>
        <w:rPr>
          <w:rFonts w:hint="eastAsia" w:ascii="仿宋_GB2312" w:hAnsi="仿宋_GB2312" w:eastAsia="仿宋_GB2312" w:cs="仿宋_GB2312"/>
          <w:sz w:val="32"/>
          <w:szCs w:val="32"/>
          <w:lang w:eastAsia="zh-CN"/>
        </w:rPr>
        <w:t>，为大余县审计局</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截至</w:t>
      </w:r>
      <w:r>
        <w:rPr>
          <w:rFonts w:hint="eastAsia" w:ascii="仿宋_GB2312" w:hAnsi="仿宋_GB2312" w:eastAsia="仿宋_GB2312" w:cs="仿宋_GB2312"/>
          <w:sz w:val="32"/>
          <w:szCs w:val="32"/>
          <w:lang w:val="en-US" w:eastAsia="zh-CN"/>
        </w:rPr>
        <w:t>2018年底，</w:t>
      </w:r>
      <w:r>
        <w:rPr>
          <w:rFonts w:hint="eastAsia" w:ascii="仿宋_GB2312" w:hAnsi="仿宋_GB2312" w:eastAsia="仿宋_GB2312" w:cs="仿宋_GB2312"/>
          <w:sz w:val="32"/>
          <w:szCs w:val="32"/>
        </w:rPr>
        <w:t>编制人数2</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人，其中：行政编制1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人、全部补助事业编制10人；实有人数</w:t>
      </w:r>
      <w:r>
        <w:rPr>
          <w:rFonts w:hint="eastAsia" w:ascii="仿宋_GB2312" w:hAnsi="仿宋_GB2312" w:eastAsia="仿宋_GB2312" w:cs="仿宋_GB2312"/>
          <w:sz w:val="32"/>
          <w:szCs w:val="32"/>
          <w:lang w:val="en-US" w:eastAsia="zh-CN"/>
        </w:rPr>
        <w:t>18</w:t>
      </w:r>
      <w:r>
        <w:rPr>
          <w:rFonts w:hint="eastAsia" w:ascii="仿宋_GB2312" w:hAnsi="仿宋_GB2312" w:eastAsia="仿宋_GB2312" w:cs="仿宋_GB2312"/>
          <w:sz w:val="32"/>
          <w:szCs w:val="32"/>
        </w:rPr>
        <w:t>人。</w:t>
      </w:r>
      <w:r>
        <w:rPr>
          <w:rFonts w:hint="eastAsia" w:ascii="仿宋_GB2312" w:hAnsi="仿宋_GB2312" w:eastAsia="仿宋_GB2312" w:cs="仿宋_GB2312"/>
          <w:sz w:val="32"/>
          <w:szCs w:val="32"/>
          <w:lang w:val="en-US" w:eastAsia="zh-CN"/>
        </w:rPr>
        <w:t>另有</w:t>
      </w:r>
      <w:r>
        <w:rPr>
          <w:rFonts w:hint="eastAsia" w:ascii="仿宋_GB2312" w:hAnsi="仿宋_GB2312" w:eastAsia="仿宋_GB2312" w:cs="仿宋_GB2312"/>
          <w:sz w:val="32"/>
          <w:szCs w:val="32"/>
        </w:rPr>
        <w:t>聘用人员</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人</w:t>
      </w:r>
      <w:r>
        <w:rPr>
          <w:rFonts w:hint="eastAsia" w:ascii="仿宋_GB2312" w:hAnsi="仿宋_GB2312" w:eastAsia="仿宋_GB2312" w:cs="仿宋_GB2312"/>
          <w:sz w:val="32"/>
          <w:szCs w:val="32"/>
          <w:lang w:eastAsia="zh-CN"/>
        </w:rPr>
        <w:t>。</w:t>
      </w:r>
    </w:p>
    <w:p>
      <w:pPr>
        <w:keepNext w:val="0"/>
        <w:keepLines w:val="0"/>
        <w:pageBreakBefore w:val="0"/>
        <w:widowControl w:val="0"/>
        <w:numPr>
          <w:ilvl w:val="0"/>
          <w:numId w:val="2"/>
        </w:numPr>
        <w:kinsoku/>
        <w:wordWrap/>
        <w:overflowPunct/>
        <w:topLinePunct w:val="0"/>
        <w:autoSpaceDE/>
        <w:autoSpaceDN/>
        <w:bidi w:val="0"/>
        <w:adjustRightInd/>
        <w:snapToGrid/>
        <w:spacing w:line="62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部门职能概述</w:t>
      </w:r>
    </w:p>
    <w:p>
      <w:pPr>
        <w:keepNext w:val="0"/>
        <w:keepLines w:val="0"/>
        <w:pageBreakBefore w:val="0"/>
        <w:widowControl w:val="0"/>
        <w:kinsoku/>
        <w:wordWrap/>
        <w:overflowPunct/>
        <w:topLinePunct w:val="0"/>
        <w:autoSpaceDE/>
        <w:autoSpaceDN/>
        <w:bidi w:val="0"/>
        <w:adjustRightInd/>
        <w:snapToGrid/>
        <w:spacing w:afterAutospacing="0"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大余县审计局是主管审计工作的县政府直属机构，主要职责是：</w:t>
      </w:r>
    </w:p>
    <w:p>
      <w:pPr>
        <w:keepNext w:val="0"/>
        <w:keepLines w:val="0"/>
        <w:pageBreakBefore w:val="0"/>
        <w:widowControl w:val="0"/>
        <w:kinsoku/>
        <w:wordWrap/>
        <w:overflowPunct/>
        <w:topLinePunct w:val="0"/>
        <w:autoSpaceDE/>
        <w:autoSpaceDN/>
        <w:bidi w:val="0"/>
        <w:adjustRightInd/>
        <w:snapToGrid/>
        <w:spacing w:afterAutospacing="0" w:line="620" w:lineRule="exact"/>
        <w:ind w:left="0" w:leftChars="0" w:right="0" w:rightChars="0" w:firstLine="640" w:firstLineChars="200"/>
        <w:textAlignment w:val="auto"/>
        <w:outlineLvl w:val="9"/>
        <w:rPr>
          <w:rFonts w:ascii="仿宋_GB2312" w:eastAsia="仿宋_GB2312"/>
          <w:sz w:val="32"/>
          <w:szCs w:val="32"/>
        </w:rPr>
      </w:pPr>
      <w:r>
        <w:rPr>
          <w:rFonts w:ascii="仿宋_GB2312" w:eastAsia="仿宋_GB2312"/>
          <w:sz w:val="32"/>
          <w:szCs w:val="32"/>
        </w:rPr>
        <w:t>（</w:t>
      </w:r>
      <w:r>
        <w:rPr>
          <w:rFonts w:hint="eastAsia" w:ascii="仿宋_GB2312" w:eastAsia="仿宋_GB2312"/>
          <w:sz w:val="32"/>
          <w:szCs w:val="32"/>
          <w:lang w:val="en-US" w:eastAsia="zh-CN"/>
        </w:rPr>
        <w:t>1</w:t>
      </w:r>
      <w:r>
        <w:rPr>
          <w:rFonts w:ascii="仿宋_GB2312" w:eastAsia="仿宋_GB2312"/>
          <w:sz w:val="32"/>
          <w:szCs w:val="32"/>
        </w:rPr>
        <w:t>）贯彻执行审计工作的方针、政策和法律法规。</w:t>
      </w:r>
    </w:p>
    <w:p>
      <w:pPr>
        <w:keepNext w:val="0"/>
        <w:keepLines w:val="0"/>
        <w:pageBreakBefore w:val="0"/>
        <w:widowControl w:val="0"/>
        <w:kinsoku/>
        <w:wordWrap/>
        <w:overflowPunct/>
        <w:topLinePunct w:val="0"/>
        <w:autoSpaceDE/>
        <w:autoSpaceDN/>
        <w:bidi w:val="0"/>
        <w:adjustRightInd/>
        <w:snapToGrid/>
        <w:spacing w:afterAutospacing="0" w:line="620" w:lineRule="exact"/>
        <w:ind w:left="0" w:leftChars="0" w:right="0" w:rightChars="0" w:firstLine="640" w:firstLineChars="200"/>
        <w:textAlignment w:val="auto"/>
        <w:outlineLvl w:val="9"/>
        <w:rPr>
          <w:rFonts w:ascii="仿宋_GB2312" w:eastAsia="仿宋_GB2312"/>
          <w:sz w:val="32"/>
          <w:szCs w:val="32"/>
        </w:rPr>
      </w:pPr>
      <w:r>
        <w:rPr>
          <w:rFonts w:ascii="仿宋_GB2312" w:eastAsia="仿宋_GB2312"/>
          <w:sz w:val="32"/>
          <w:szCs w:val="32"/>
        </w:rPr>
        <w:t>（</w:t>
      </w:r>
      <w:r>
        <w:rPr>
          <w:rFonts w:hint="eastAsia" w:ascii="仿宋_GB2312" w:eastAsia="仿宋_GB2312"/>
          <w:sz w:val="32"/>
          <w:szCs w:val="32"/>
          <w:lang w:val="en-US" w:eastAsia="zh-CN"/>
        </w:rPr>
        <w:t>2</w:t>
      </w:r>
      <w:r>
        <w:rPr>
          <w:rFonts w:ascii="仿宋_GB2312" w:eastAsia="仿宋_GB2312"/>
          <w:sz w:val="32"/>
          <w:szCs w:val="32"/>
        </w:rPr>
        <w:t>）向县政府、市审计局报告审计工作和向县政府有关部门通报审计情况，提出制定和完善有关政策、法规、宏观调控措施的建议。</w:t>
      </w:r>
    </w:p>
    <w:p>
      <w:pPr>
        <w:keepNext w:val="0"/>
        <w:keepLines w:val="0"/>
        <w:pageBreakBefore w:val="0"/>
        <w:widowControl w:val="0"/>
        <w:kinsoku/>
        <w:wordWrap/>
        <w:overflowPunct/>
        <w:topLinePunct w:val="0"/>
        <w:autoSpaceDE/>
        <w:autoSpaceDN/>
        <w:bidi w:val="0"/>
        <w:adjustRightInd/>
        <w:snapToGrid/>
        <w:spacing w:afterAutospacing="0" w:line="620" w:lineRule="exact"/>
        <w:ind w:left="0" w:leftChars="0" w:right="0" w:rightChars="0" w:firstLine="640" w:firstLineChars="200"/>
        <w:textAlignment w:val="auto"/>
        <w:outlineLvl w:val="9"/>
        <w:rPr>
          <w:rFonts w:ascii="仿宋_GB2312" w:eastAsia="仿宋_GB2312"/>
          <w:sz w:val="32"/>
          <w:szCs w:val="32"/>
        </w:rPr>
      </w:pPr>
      <w:r>
        <w:rPr>
          <w:rFonts w:ascii="仿宋_GB2312" w:eastAsia="仿宋_GB2312"/>
          <w:sz w:val="32"/>
          <w:szCs w:val="32"/>
        </w:rPr>
        <w:t>（</w:t>
      </w:r>
      <w:r>
        <w:rPr>
          <w:rFonts w:hint="eastAsia" w:ascii="仿宋_GB2312" w:eastAsia="仿宋_GB2312"/>
          <w:sz w:val="32"/>
          <w:szCs w:val="32"/>
          <w:lang w:val="en-US" w:eastAsia="zh-CN"/>
        </w:rPr>
        <w:t>3</w:t>
      </w:r>
      <w:r>
        <w:rPr>
          <w:rFonts w:ascii="仿宋_GB2312" w:eastAsia="仿宋_GB2312"/>
          <w:sz w:val="32"/>
          <w:szCs w:val="32"/>
        </w:rPr>
        <w:t>）依据《中华人民共和国审计法》的规定，直接进行下列审计：</w:t>
      </w:r>
    </w:p>
    <w:p>
      <w:pPr>
        <w:keepNext w:val="0"/>
        <w:keepLines w:val="0"/>
        <w:pageBreakBefore w:val="0"/>
        <w:widowControl w:val="0"/>
        <w:kinsoku/>
        <w:wordWrap/>
        <w:overflowPunct/>
        <w:topLinePunct w:val="0"/>
        <w:autoSpaceDE/>
        <w:autoSpaceDN/>
        <w:bidi w:val="0"/>
        <w:adjustRightInd/>
        <w:snapToGrid/>
        <w:spacing w:afterAutospacing="0" w:line="620" w:lineRule="exact"/>
        <w:ind w:left="0" w:leftChars="0" w:right="0" w:rightChars="0" w:firstLine="640" w:firstLineChars="200"/>
        <w:textAlignment w:val="auto"/>
        <w:outlineLvl w:val="9"/>
        <w:rPr>
          <w:rFonts w:ascii="仿宋_GB2312" w:eastAsia="仿宋_GB2312"/>
          <w:sz w:val="32"/>
          <w:szCs w:val="32"/>
        </w:rPr>
      </w:pPr>
      <w:r>
        <w:rPr>
          <w:rFonts w:hint="eastAsia" w:ascii="仿宋_GB2312" w:eastAsia="仿宋_GB2312"/>
          <w:sz w:val="32"/>
          <w:szCs w:val="32"/>
        </w:rPr>
        <w:t>①</w:t>
      </w:r>
      <w:r>
        <w:rPr>
          <w:rFonts w:ascii="仿宋_GB2312" w:eastAsia="仿宋_GB2312"/>
          <w:sz w:val="32"/>
          <w:szCs w:val="32"/>
        </w:rPr>
        <w:t>县级财政预算执行情况以及其他财政收支。</w:t>
      </w:r>
    </w:p>
    <w:p>
      <w:pPr>
        <w:keepNext w:val="0"/>
        <w:keepLines w:val="0"/>
        <w:pageBreakBefore w:val="0"/>
        <w:widowControl w:val="0"/>
        <w:kinsoku/>
        <w:wordWrap/>
        <w:overflowPunct/>
        <w:topLinePunct w:val="0"/>
        <w:autoSpaceDE/>
        <w:autoSpaceDN/>
        <w:bidi w:val="0"/>
        <w:adjustRightInd/>
        <w:snapToGrid/>
        <w:spacing w:afterAutospacing="0" w:line="620" w:lineRule="exact"/>
        <w:ind w:left="0" w:leftChars="0" w:right="0" w:rightChars="0" w:firstLine="640" w:firstLineChars="200"/>
        <w:textAlignment w:val="auto"/>
        <w:outlineLvl w:val="9"/>
        <w:rPr>
          <w:rFonts w:ascii="仿宋_GB2312" w:eastAsia="仿宋_GB2312"/>
          <w:sz w:val="32"/>
          <w:szCs w:val="32"/>
        </w:rPr>
      </w:pPr>
      <w:r>
        <w:rPr>
          <w:rFonts w:hint="eastAsia" w:ascii="仿宋_GB2312" w:eastAsia="仿宋_GB2312"/>
          <w:sz w:val="32"/>
          <w:szCs w:val="32"/>
        </w:rPr>
        <w:t>②</w:t>
      </w:r>
      <w:r>
        <w:rPr>
          <w:rFonts w:ascii="仿宋_GB2312" w:eastAsia="仿宋_GB2312"/>
          <w:sz w:val="32"/>
          <w:szCs w:val="32"/>
        </w:rPr>
        <w:t>县直各部门、事业单位及其下属单位的财政收支。</w:t>
      </w:r>
    </w:p>
    <w:p>
      <w:pPr>
        <w:keepNext w:val="0"/>
        <w:keepLines w:val="0"/>
        <w:pageBreakBefore w:val="0"/>
        <w:widowControl w:val="0"/>
        <w:kinsoku/>
        <w:wordWrap/>
        <w:overflowPunct/>
        <w:topLinePunct w:val="0"/>
        <w:autoSpaceDE/>
        <w:autoSpaceDN/>
        <w:bidi w:val="0"/>
        <w:adjustRightInd/>
        <w:snapToGrid/>
        <w:spacing w:afterAutospacing="0" w:line="620" w:lineRule="exact"/>
        <w:ind w:left="0" w:leftChars="0" w:right="0" w:rightChars="0" w:firstLine="640" w:firstLineChars="200"/>
        <w:textAlignment w:val="auto"/>
        <w:outlineLvl w:val="9"/>
        <w:rPr>
          <w:rFonts w:ascii="仿宋_GB2312" w:eastAsia="仿宋_GB2312"/>
          <w:sz w:val="32"/>
          <w:szCs w:val="32"/>
        </w:rPr>
      </w:pPr>
      <w:r>
        <w:rPr>
          <w:rFonts w:hint="eastAsia" w:ascii="仿宋_GB2312" w:eastAsia="仿宋_GB2312"/>
          <w:sz w:val="32"/>
          <w:szCs w:val="32"/>
        </w:rPr>
        <w:t>③</w:t>
      </w:r>
      <w:r>
        <w:rPr>
          <w:rFonts w:ascii="仿宋_GB2312" w:eastAsia="仿宋_GB2312"/>
          <w:sz w:val="32"/>
          <w:szCs w:val="32"/>
        </w:rPr>
        <w:t>下级政府预算的执行情况和决算。</w:t>
      </w:r>
    </w:p>
    <w:p>
      <w:pPr>
        <w:keepNext w:val="0"/>
        <w:keepLines w:val="0"/>
        <w:pageBreakBefore w:val="0"/>
        <w:widowControl w:val="0"/>
        <w:kinsoku/>
        <w:wordWrap/>
        <w:overflowPunct/>
        <w:topLinePunct w:val="0"/>
        <w:autoSpaceDE/>
        <w:autoSpaceDN/>
        <w:bidi w:val="0"/>
        <w:adjustRightInd/>
        <w:snapToGrid/>
        <w:spacing w:afterAutospacing="0" w:line="620" w:lineRule="exact"/>
        <w:ind w:left="0" w:leftChars="0" w:right="0" w:rightChars="0" w:firstLine="640" w:firstLineChars="200"/>
        <w:textAlignment w:val="auto"/>
        <w:outlineLvl w:val="9"/>
        <w:rPr>
          <w:rFonts w:ascii="仿宋_GB2312" w:eastAsia="仿宋_GB2312"/>
          <w:sz w:val="32"/>
          <w:szCs w:val="32"/>
        </w:rPr>
      </w:pPr>
      <w:r>
        <w:rPr>
          <w:rFonts w:hint="eastAsia" w:ascii="仿宋_GB2312" w:eastAsia="仿宋_GB2312"/>
          <w:sz w:val="32"/>
          <w:szCs w:val="32"/>
        </w:rPr>
        <w:t>④</w:t>
      </w:r>
      <w:r>
        <w:rPr>
          <w:rFonts w:ascii="仿宋_GB2312" w:eastAsia="仿宋_GB2312"/>
          <w:sz w:val="32"/>
          <w:szCs w:val="32"/>
        </w:rPr>
        <w:t>国有企业和国有控股企业的财务收支及资产、负债、损益状况。</w:t>
      </w:r>
    </w:p>
    <w:p>
      <w:pPr>
        <w:keepNext w:val="0"/>
        <w:keepLines w:val="0"/>
        <w:pageBreakBefore w:val="0"/>
        <w:widowControl w:val="0"/>
        <w:kinsoku/>
        <w:wordWrap/>
        <w:overflowPunct/>
        <w:topLinePunct w:val="0"/>
        <w:autoSpaceDE/>
        <w:autoSpaceDN/>
        <w:bidi w:val="0"/>
        <w:adjustRightInd/>
        <w:snapToGrid/>
        <w:spacing w:afterAutospacing="0" w:line="620" w:lineRule="exact"/>
        <w:ind w:left="0" w:leftChars="0" w:right="0" w:rightChars="0" w:firstLine="640" w:firstLineChars="200"/>
        <w:textAlignment w:val="auto"/>
        <w:outlineLvl w:val="9"/>
        <w:rPr>
          <w:rFonts w:ascii="仿宋_GB2312" w:eastAsia="仿宋_GB2312"/>
          <w:sz w:val="32"/>
          <w:szCs w:val="32"/>
        </w:rPr>
      </w:pPr>
      <w:r>
        <w:rPr>
          <w:rFonts w:hint="eastAsia" w:ascii="仿宋_GB2312" w:eastAsia="仿宋_GB2312"/>
          <w:sz w:val="32"/>
          <w:szCs w:val="32"/>
        </w:rPr>
        <w:t>⑤</w:t>
      </w:r>
      <w:r>
        <w:rPr>
          <w:rFonts w:ascii="仿宋_GB2312" w:eastAsia="仿宋_GB2312"/>
          <w:sz w:val="32"/>
          <w:szCs w:val="32"/>
        </w:rPr>
        <w:t>县属国有金融机构的资产、负债和损益情况，以及非银行金融机构的财务收支及资产、负债、损益状况。</w:t>
      </w:r>
    </w:p>
    <w:p>
      <w:pPr>
        <w:keepNext w:val="0"/>
        <w:keepLines w:val="0"/>
        <w:pageBreakBefore w:val="0"/>
        <w:widowControl w:val="0"/>
        <w:kinsoku/>
        <w:wordWrap/>
        <w:overflowPunct/>
        <w:topLinePunct w:val="0"/>
        <w:autoSpaceDE/>
        <w:autoSpaceDN/>
        <w:bidi w:val="0"/>
        <w:adjustRightInd/>
        <w:snapToGrid/>
        <w:spacing w:afterAutospacing="0" w:line="620" w:lineRule="exact"/>
        <w:ind w:left="0" w:leftChars="0" w:right="0" w:rightChars="0" w:firstLine="640" w:firstLineChars="200"/>
        <w:textAlignment w:val="auto"/>
        <w:outlineLvl w:val="9"/>
        <w:rPr>
          <w:rFonts w:ascii="仿宋_GB2312" w:eastAsia="仿宋_GB2312"/>
          <w:sz w:val="32"/>
          <w:szCs w:val="32"/>
        </w:rPr>
      </w:pPr>
      <w:r>
        <w:rPr>
          <w:rFonts w:hint="eastAsia" w:ascii="仿宋_GB2312" w:eastAsia="仿宋_GB2312"/>
          <w:sz w:val="32"/>
          <w:szCs w:val="32"/>
        </w:rPr>
        <w:t>⑥</w:t>
      </w:r>
      <w:r>
        <w:rPr>
          <w:rFonts w:ascii="仿宋_GB2312" w:eastAsia="仿宋_GB2312"/>
          <w:sz w:val="32"/>
          <w:szCs w:val="32"/>
        </w:rPr>
        <w:t>县政府部门管理的和受县政府委托由社会团体管理的社会保障基金、环境保护资金、社会捐赠资金及其他有关基金、资金的财务收支。</w:t>
      </w:r>
    </w:p>
    <w:p>
      <w:pPr>
        <w:keepNext w:val="0"/>
        <w:keepLines w:val="0"/>
        <w:pageBreakBefore w:val="0"/>
        <w:widowControl w:val="0"/>
        <w:kinsoku/>
        <w:wordWrap/>
        <w:overflowPunct/>
        <w:topLinePunct w:val="0"/>
        <w:autoSpaceDE/>
        <w:autoSpaceDN/>
        <w:bidi w:val="0"/>
        <w:adjustRightInd/>
        <w:snapToGrid/>
        <w:spacing w:afterAutospacing="0" w:line="620" w:lineRule="exact"/>
        <w:ind w:left="0" w:leftChars="0" w:right="0" w:rightChars="0" w:firstLine="640" w:firstLineChars="200"/>
        <w:textAlignment w:val="auto"/>
        <w:outlineLvl w:val="9"/>
        <w:rPr>
          <w:rFonts w:ascii="仿宋_GB2312" w:eastAsia="仿宋_GB2312"/>
          <w:sz w:val="32"/>
          <w:szCs w:val="32"/>
        </w:rPr>
      </w:pPr>
      <w:r>
        <w:rPr>
          <w:rFonts w:hint="eastAsia" w:ascii="仿宋_GB2312" w:eastAsia="仿宋_GB2312"/>
          <w:sz w:val="32"/>
          <w:szCs w:val="32"/>
        </w:rPr>
        <w:t>⑦</w:t>
      </w:r>
      <w:r>
        <w:rPr>
          <w:rFonts w:ascii="仿宋_GB2312" w:eastAsia="仿宋_GB2312"/>
          <w:sz w:val="32"/>
          <w:szCs w:val="32"/>
        </w:rPr>
        <w:t>国际组织和外国政府援助贷款项目的财务收支。</w:t>
      </w:r>
    </w:p>
    <w:p>
      <w:pPr>
        <w:keepNext w:val="0"/>
        <w:keepLines w:val="0"/>
        <w:pageBreakBefore w:val="0"/>
        <w:widowControl w:val="0"/>
        <w:kinsoku/>
        <w:wordWrap/>
        <w:overflowPunct/>
        <w:topLinePunct w:val="0"/>
        <w:autoSpaceDE/>
        <w:autoSpaceDN/>
        <w:bidi w:val="0"/>
        <w:adjustRightInd/>
        <w:snapToGrid/>
        <w:spacing w:afterAutospacing="0" w:line="620" w:lineRule="exact"/>
        <w:ind w:left="0" w:leftChars="0" w:right="0" w:rightChars="0" w:firstLine="640" w:firstLineChars="200"/>
        <w:textAlignment w:val="auto"/>
        <w:outlineLvl w:val="9"/>
        <w:rPr>
          <w:rFonts w:ascii="仿宋_GB2312" w:eastAsia="仿宋_GB2312"/>
          <w:sz w:val="32"/>
          <w:szCs w:val="32"/>
        </w:rPr>
      </w:pPr>
      <w:r>
        <w:rPr>
          <w:rFonts w:hint="eastAsia" w:ascii="仿宋_GB2312" w:eastAsia="仿宋_GB2312"/>
          <w:sz w:val="32"/>
          <w:szCs w:val="32"/>
        </w:rPr>
        <w:t>⑧</w:t>
      </w:r>
      <w:r>
        <w:rPr>
          <w:rFonts w:ascii="仿宋_GB2312" w:eastAsia="仿宋_GB2312"/>
          <w:sz w:val="32"/>
          <w:szCs w:val="32"/>
        </w:rPr>
        <w:t>国家、省、市、县建设项目和县重点技术改造项目。</w:t>
      </w:r>
    </w:p>
    <w:p>
      <w:pPr>
        <w:keepNext w:val="0"/>
        <w:keepLines w:val="0"/>
        <w:pageBreakBefore w:val="0"/>
        <w:widowControl w:val="0"/>
        <w:kinsoku/>
        <w:wordWrap/>
        <w:overflowPunct/>
        <w:topLinePunct w:val="0"/>
        <w:autoSpaceDE/>
        <w:autoSpaceDN/>
        <w:bidi w:val="0"/>
        <w:adjustRightInd/>
        <w:snapToGrid/>
        <w:spacing w:afterAutospacing="0" w:line="620" w:lineRule="exact"/>
        <w:ind w:left="0" w:leftChars="0" w:right="0" w:rightChars="0" w:firstLine="640" w:firstLineChars="200"/>
        <w:textAlignment w:val="auto"/>
        <w:outlineLvl w:val="9"/>
        <w:rPr>
          <w:rFonts w:ascii="仿宋_GB2312" w:eastAsia="仿宋_GB2312"/>
          <w:sz w:val="32"/>
          <w:szCs w:val="32"/>
        </w:rPr>
      </w:pPr>
      <w:r>
        <w:rPr>
          <w:rFonts w:hint="eastAsia" w:ascii="仿宋_GB2312" w:eastAsia="仿宋_GB2312"/>
          <w:sz w:val="32"/>
          <w:szCs w:val="32"/>
        </w:rPr>
        <w:t>⑨</w:t>
      </w:r>
      <w:r>
        <w:rPr>
          <w:rFonts w:ascii="仿宋_GB2312" w:eastAsia="仿宋_GB2312"/>
          <w:sz w:val="32"/>
          <w:szCs w:val="32"/>
        </w:rPr>
        <w:t>上级审计机关授权的审计项目。</w:t>
      </w:r>
    </w:p>
    <w:p>
      <w:pPr>
        <w:keepNext w:val="0"/>
        <w:keepLines w:val="0"/>
        <w:pageBreakBefore w:val="0"/>
        <w:widowControl w:val="0"/>
        <w:kinsoku/>
        <w:wordWrap/>
        <w:overflowPunct/>
        <w:topLinePunct w:val="0"/>
        <w:autoSpaceDE/>
        <w:autoSpaceDN/>
        <w:bidi w:val="0"/>
        <w:adjustRightInd/>
        <w:snapToGrid/>
        <w:spacing w:afterAutospacing="0" w:line="620" w:lineRule="exact"/>
        <w:ind w:left="0" w:leftChars="0" w:right="0" w:rightChars="0" w:firstLine="640" w:firstLineChars="200"/>
        <w:textAlignment w:val="auto"/>
        <w:outlineLvl w:val="9"/>
        <w:rPr>
          <w:rFonts w:ascii="仿宋_GB2312" w:eastAsia="仿宋_GB2312"/>
          <w:sz w:val="32"/>
          <w:szCs w:val="32"/>
        </w:rPr>
      </w:pPr>
      <w:r>
        <w:rPr>
          <w:rFonts w:hint="eastAsia" w:ascii="仿宋_GB2312" w:eastAsia="仿宋_GB2312"/>
          <w:sz w:val="32"/>
          <w:szCs w:val="32"/>
        </w:rPr>
        <w:t>⑩</w:t>
      </w:r>
      <w:r>
        <w:rPr>
          <w:rFonts w:ascii="仿宋_GB2312" w:eastAsia="仿宋_GB2312"/>
          <w:sz w:val="32"/>
          <w:szCs w:val="32"/>
        </w:rPr>
        <w:t>其他法律法规规定应由县审计局进行的审计项目。</w:t>
      </w:r>
    </w:p>
    <w:p>
      <w:pPr>
        <w:keepNext w:val="0"/>
        <w:keepLines w:val="0"/>
        <w:pageBreakBefore w:val="0"/>
        <w:widowControl w:val="0"/>
        <w:kinsoku/>
        <w:wordWrap/>
        <w:overflowPunct/>
        <w:topLinePunct w:val="0"/>
        <w:autoSpaceDE/>
        <w:autoSpaceDN/>
        <w:bidi w:val="0"/>
        <w:adjustRightInd/>
        <w:snapToGrid/>
        <w:spacing w:afterAutospacing="0" w:line="620" w:lineRule="exact"/>
        <w:ind w:left="0" w:leftChars="0" w:right="0" w:rightChars="0" w:firstLine="640" w:firstLineChars="200"/>
        <w:textAlignment w:val="auto"/>
        <w:outlineLvl w:val="9"/>
        <w:rPr>
          <w:rFonts w:ascii="仿宋_GB2312" w:eastAsia="仿宋_GB2312"/>
          <w:sz w:val="32"/>
          <w:szCs w:val="32"/>
        </w:rPr>
      </w:pPr>
      <w:r>
        <w:rPr>
          <w:rFonts w:ascii="仿宋_GB2312" w:eastAsia="仿宋_GB2312"/>
          <w:sz w:val="32"/>
          <w:szCs w:val="32"/>
        </w:rPr>
        <w:t>（</w:t>
      </w:r>
      <w:r>
        <w:rPr>
          <w:rFonts w:hint="eastAsia" w:ascii="仿宋_GB2312" w:eastAsia="仿宋_GB2312"/>
          <w:sz w:val="32"/>
          <w:szCs w:val="32"/>
          <w:lang w:val="en-US" w:eastAsia="zh-CN"/>
        </w:rPr>
        <w:t>4</w:t>
      </w:r>
      <w:r>
        <w:rPr>
          <w:rFonts w:ascii="仿宋_GB2312" w:eastAsia="仿宋_GB2312"/>
          <w:sz w:val="32"/>
          <w:szCs w:val="32"/>
        </w:rPr>
        <w:t>）向县政府提交县级预算执行情况的审计结果报告；受县政府委托向县人大常委会提出县级预算执行情况和其他财政收支审计工作报告。</w:t>
      </w:r>
    </w:p>
    <w:p>
      <w:pPr>
        <w:keepNext w:val="0"/>
        <w:keepLines w:val="0"/>
        <w:pageBreakBefore w:val="0"/>
        <w:widowControl w:val="0"/>
        <w:kinsoku/>
        <w:wordWrap/>
        <w:overflowPunct/>
        <w:topLinePunct w:val="0"/>
        <w:autoSpaceDE/>
        <w:autoSpaceDN/>
        <w:bidi w:val="0"/>
        <w:adjustRightInd/>
        <w:snapToGrid/>
        <w:spacing w:afterAutospacing="0" w:line="620" w:lineRule="exact"/>
        <w:ind w:left="0" w:leftChars="0" w:right="0" w:rightChars="0" w:firstLine="640" w:firstLineChars="200"/>
        <w:textAlignment w:val="auto"/>
        <w:outlineLvl w:val="9"/>
        <w:rPr>
          <w:rFonts w:ascii="仿宋_GB2312" w:eastAsia="仿宋_GB2312"/>
          <w:sz w:val="32"/>
          <w:szCs w:val="32"/>
        </w:rPr>
      </w:pPr>
      <w:r>
        <w:rPr>
          <w:rFonts w:ascii="仿宋_GB2312" w:eastAsia="仿宋_GB2312"/>
          <w:sz w:val="32"/>
          <w:szCs w:val="32"/>
        </w:rPr>
        <w:t>（</w:t>
      </w:r>
      <w:r>
        <w:rPr>
          <w:rFonts w:hint="eastAsia" w:ascii="仿宋_GB2312" w:eastAsia="仿宋_GB2312"/>
          <w:sz w:val="32"/>
          <w:szCs w:val="32"/>
          <w:lang w:val="en-US" w:eastAsia="zh-CN"/>
        </w:rPr>
        <w:t>5</w:t>
      </w:r>
      <w:r>
        <w:rPr>
          <w:rFonts w:ascii="仿宋_GB2312" w:eastAsia="仿宋_GB2312"/>
          <w:sz w:val="32"/>
          <w:szCs w:val="32"/>
        </w:rPr>
        <w:t>）组织实施对贯彻执行财经政策和宏观调控措施情况的行业审计、专项审计和审计调查；组织实施对党政领导干部和国有企业及国有控股企业的法定代表人的任期经济责任审计。</w:t>
      </w:r>
    </w:p>
    <w:p>
      <w:pPr>
        <w:keepNext w:val="0"/>
        <w:keepLines w:val="0"/>
        <w:pageBreakBefore w:val="0"/>
        <w:widowControl w:val="0"/>
        <w:kinsoku/>
        <w:wordWrap/>
        <w:overflowPunct/>
        <w:topLinePunct w:val="0"/>
        <w:autoSpaceDE/>
        <w:autoSpaceDN/>
        <w:bidi w:val="0"/>
        <w:adjustRightInd/>
        <w:snapToGrid/>
        <w:spacing w:afterAutospacing="0" w:line="620" w:lineRule="exact"/>
        <w:ind w:left="0" w:leftChars="0" w:right="0" w:rightChars="0" w:firstLine="640" w:firstLineChars="200"/>
        <w:textAlignment w:val="auto"/>
        <w:outlineLvl w:val="9"/>
        <w:rPr>
          <w:rFonts w:ascii="仿宋_GB2312" w:eastAsia="仿宋_GB2312"/>
          <w:sz w:val="32"/>
          <w:szCs w:val="32"/>
        </w:rPr>
      </w:pPr>
      <w:r>
        <w:rPr>
          <w:rFonts w:ascii="仿宋_GB2312" w:eastAsia="仿宋_GB2312"/>
          <w:sz w:val="32"/>
          <w:szCs w:val="32"/>
        </w:rPr>
        <w:t>（</w:t>
      </w:r>
      <w:r>
        <w:rPr>
          <w:rFonts w:hint="eastAsia" w:ascii="仿宋_GB2312" w:eastAsia="仿宋_GB2312"/>
          <w:sz w:val="32"/>
          <w:szCs w:val="32"/>
          <w:lang w:val="en-US" w:eastAsia="zh-CN"/>
        </w:rPr>
        <w:t>6</w:t>
      </w:r>
      <w:r>
        <w:rPr>
          <w:rFonts w:ascii="仿宋_GB2312" w:eastAsia="仿宋_GB2312"/>
          <w:sz w:val="32"/>
          <w:szCs w:val="32"/>
        </w:rPr>
        <w:t>）指导与监督内部审计。</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left="0" w:firstLine="640" w:firstLineChars="200"/>
        <w:jc w:val="both"/>
        <w:textAlignment w:val="auto"/>
        <w:rPr>
          <w:rFonts w:hint="eastAsia" w:ascii="仿宋" w:hAnsi="仿宋" w:eastAsia="仿宋_GB2312"/>
          <w:sz w:val="32"/>
          <w:szCs w:val="32"/>
          <w:lang w:val="en-US" w:eastAsia="zh-CN"/>
        </w:rPr>
      </w:pPr>
      <w:r>
        <w:rPr>
          <w:rFonts w:ascii="仿宋_GB2312" w:eastAsia="仿宋_GB2312"/>
          <w:sz w:val="32"/>
          <w:szCs w:val="32"/>
        </w:rPr>
        <w:t>（</w:t>
      </w:r>
      <w:r>
        <w:rPr>
          <w:rFonts w:hint="eastAsia" w:ascii="仿宋_GB2312" w:eastAsia="仿宋_GB2312"/>
          <w:sz w:val="32"/>
          <w:szCs w:val="32"/>
          <w:lang w:val="en-US" w:eastAsia="zh-CN"/>
        </w:rPr>
        <w:t>7</w:t>
      </w:r>
      <w:r>
        <w:rPr>
          <w:rFonts w:ascii="仿宋_GB2312" w:eastAsia="仿宋_GB2312"/>
          <w:sz w:val="32"/>
          <w:szCs w:val="32"/>
        </w:rPr>
        <w:t>）承办县政府和上级审计机关交办的其他事项</w:t>
      </w:r>
      <w:r>
        <w:rPr>
          <w:rFonts w:hint="eastAsia" w:ascii="仿宋_GB2312" w:eastAsia="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20" w:lineRule="exact"/>
        <w:ind w:left="0" w:firstLine="643" w:firstLineChars="200"/>
        <w:textAlignment w:val="auto"/>
        <w:rPr>
          <w:rFonts w:hint="eastAsia" w:ascii="楷体" w:hAnsi="楷体" w:eastAsia="楷体"/>
          <w:b/>
          <w:sz w:val="32"/>
          <w:szCs w:val="32"/>
        </w:rPr>
      </w:pPr>
      <w:r>
        <w:rPr>
          <w:rFonts w:hint="eastAsia" w:ascii="楷体" w:hAnsi="楷体" w:eastAsia="楷体"/>
          <w:b/>
          <w:sz w:val="32"/>
          <w:szCs w:val="32"/>
        </w:rPr>
        <w:t>（二）部门内部管理情况</w:t>
      </w:r>
    </w:p>
    <w:p>
      <w:pPr>
        <w:keepNext w:val="0"/>
        <w:keepLines w:val="0"/>
        <w:pageBreakBefore w:val="0"/>
        <w:widowControl w:val="0"/>
        <w:kinsoku/>
        <w:wordWrap/>
        <w:overflowPunct/>
        <w:topLinePunct w:val="0"/>
        <w:autoSpaceDE/>
        <w:autoSpaceDN/>
        <w:bidi w:val="0"/>
        <w:adjustRightInd/>
        <w:snapToGrid/>
        <w:spacing w:line="620" w:lineRule="exact"/>
        <w:ind w:left="0" w:firstLine="640" w:firstLineChars="200"/>
        <w:textAlignment w:val="auto"/>
        <w:rPr>
          <w:rFonts w:hint="eastAsia" w:ascii="仿宋" w:hAnsi="仿宋" w:eastAsia="仿宋_GB2312"/>
          <w:sz w:val="32"/>
          <w:szCs w:val="32"/>
          <w:highlight w:val="none"/>
          <w:lang w:eastAsia="zh-CN"/>
        </w:rPr>
      </w:pPr>
      <w:r>
        <w:rPr>
          <w:rFonts w:hint="eastAsia" w:ascii="仿宋_GB2312" w:hAnsi="仿宋_GB2312" w:eastAsia="仿宋_GB2312" w:cs="仿宋_GB2312"/>
          <w:sz w:val="32"/>
          <w:szCs w:val="32"/>
          <w:highlight w:val="none"/>
          <w:lang w:eastAsia="zh-CN"/>
        </w:rPr>
        <w:t>县审计局制定了考勤制度、财务管理制度、审计业务工作制度、审计业务质量管理制度、档案管理制度等，从制度上规范各工作环节，加强内部管理。</w:t>
      </w:r>
    </w:p>
    <w:p>
      <w:pPr>
        <w:keepNext w:val="0"/>
        <w:keepLines w:val="0"/>
        <w:pageBreakBefore w:val="0"/>
        <w:widowControl w:val="0"/>
        <w:kinsoku/>
        <w:wordWrap/>
        <w:overflowPunct/>
        <w:topLinePunct w:val="0"/>
        <w:autoSpaceDE/>
        <w:autoSpaceDN/>
        <w:bidi w:val="0"/>
        <w:adjustRightInd/>
        <w:snapToGrid/>
        <w:spacing w:line="620" w:lineRule="exact"/>
        <w:ind w:left="0" w:firstLine="643" w:firstLineChars="200"/>
        <w:textAlignment w:val="auto"/>
        <w:rPr>
          <w:rFonts w:hint="eastAsia" w:ascii="楷体" w:hAnsi="楷体" w:eastAsia="楷体"/>
          <w:b/>
          <w:color w:val="993300"/>
          <w:sz w:val="32"/>
          <w:szCs w:val="32"/>
        </w:rPr>
      </w:pPr>
      <w:r>
        <w:rPr>
          <w:rFonts w:hint="eastAsia" w:ascii="楷体" w:hAnsi="楷体" w:eastAsia="楷体"/>
          <w:b/>
          <w:sz w:val="32"/>
          <w:szCs w:val="32"/>
        </w:rPr>
        <w:t>（三）年度重点工作任务及完成情况</w:t>
      </w:r>
    </w:p>
    <w:p>
      <w:pPr>
        <w:keepNext w:val="0"/>
        <w:keepLines w:val="0"/>
        <w:pageBreakBefore w:val="0"/>
        <w:widowControl w:val="0"/>
        <w:kinsoku/>
        <w:wordWrap/>
        <w:overflowPunct/>
        <w:topLinePunct w:val="0"/>
        <w:autoSpaceDE/>
        <w:autoSpaceDN/>
        <w:bidi w:val="0"/>
        <w:adjustRightInd/>
        <w:snapToGrid/>
        <w:spacing w:line="620" w:lineRule="exact"/>
        <w:ind w:left="0" w:firstLine="640" w:firstLineChars="200"/>
        <w:textAlignment w:val="auto"/>
        <w:rPr>
          <w:rFonts w:hint="eastAsia" w:ascii="仿宋" w:hAnsi="仿宋" w:eastAsia="仿宋"/>
          <w:sz w:val="32"/>
          <w:szCs w:val="32"/>
        </w:rPr>
      </w:pPr>
      <w:r>
        <w:rPr>
          <w:rFonts w:hint="eastAsia" w:ascii="仿宋_GB2312" w:hAnsi="仿宋_GB2312" w:eastAsia="仿宋_GB2312" w:cs="仿宋_GB2312"/>
          <w:sz w:val="32"/>
          <w:szCs w:val="32"/>
          <w:highlight w:val="none"/>
          <w:lang w:val="en-US" w:eastAsia="zh-CN"/>
        </w:rPr>
        <w:t>2018年，县审计局紧紧围绕县委、县政府的经济建设中心工作，深入贯彻“全面审计，突出重点”的方针，突出审计全覆盖的审计监督。按照2018年度工作安排，县审计局统筹安排力量，顺利完成各项工作：积极开展同级审、部门预算审计、领导干部经济责任审计，加大对政府投资和以政府投资为主的建设项目预算执行情况和决算审计，同时做好精准扶贫、创建文明县城等中心工作。</w:t>
      </w:r>
      <w:r>
        <w:rPr>
          <w:rFonts w:hint="eastAsia" w:ascii="仿宋" w:hAnsi="仿宋" w:eastAsia="仿宋"/>
          <w:sz w:val="32"/>
          <w:szCs w:val="32"/>
        </w:rPr>
        <w:t xml:space="preserve"> </w:t>
      </w:r>
    </w:p>
    <w:p>
      <w:pPr>
        <w:keepNext w:val="0"/>
        <w:keepLines w:val="0"/>
        <w:pageBreakBefore w:val="0"/>
        <w:widowControl w:val="0"/>
        <w:kinsoku/>
        <w:wordWrap/>
        <w:overflowPunct/>
        <w:topLinePunct w:val="0"/>
        <w:autoSpaceDE/>
        <w:autoSpaceDN/>
        <w:bidi w:val="0"/>
        <w:adjustRightInd/>
        <w:snapToGrid/>
        <w:spacing w:line="620" w:lineRule="exact"/>
        <w:ind w:left="0" w:firstLine="640" w:firstLineChars="200"/>
        <w:textAlignment w:val="auto"/>
        <w:rPr>
          <w:rFonts w:hint="eastAsia" w:ascii="黑体" w:hAnsi="黑体" w:eastAsia="黑体"/>
          <w:sz w:val="32"/>
          <w:szCs w:val="32"/>
        </w:rPr>
      </w:pPr>
      <w:r>
        <w:rPr>
          <w:rFonts w:hint="eastAsia" w:ascii="黑体" w:hAnsi="黑体" w:eastAsia="黑体"/>
          <w:sz w:val="32"/>
          <w:szCs w:val="32"/>
        </w:rPr>
        <w:t>二、部门整体支出管理及使用情况</w:t>
      </w:r>
    </w:p>
    <w:p>
      <w:pPr>
        <w:keepNext w:val="0"/>
        <w:keepLines w:val="0"/>
        <w:pageBreakBefore w:val="0"/>
        <w:widowControl w:val="0"/>
        <w:kinsoku/>
        <w:wordWrap/>
        <w:overflowPunct/>
        <w:topLinePunct w:val="0"/>
        <w:autoSpaceDE/>
        <w:autoSpaceDN/>
        <w:bidi w:val="0"/>
        <w:adjustRightInd/>
        <w:snapToGrid/>
        <w:spacing w:line="620" w:lineRule="exact"/>
        <w:ind w:left="0" w:firstLine="640" w:firstLineChars="200"/>
        <w:textAlignment w:val="auto"/>
        <w:rPr>
          <w:rFonts w:hint="eastAsia" w:ascii="仿宋" w:hAnsi="仿宋" w:eastAsia="仿宋"/>
          <w:sz w:val="32"/>
          <w:szCs w:val="32"/>
        </w:rPr>
      </w:pP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财政局年初批复</w:t>
      </w:r>
      <w:r>
        <w:rPr>
          <w:rFonts w:hint="eastAsia" w:ascii="仿宋_GB2312" w:hAnsi="仿宋_GB2312" w:eastAsia="仿宋_GB2312" w:cs="仿宋_GB2312"/>
          <w:sz w:val="32"/>
          <w:szCs w:val="32"/>
          <w:lang w:eastAsia="zh-CN"/>
        </w:rPr>
        <w:t>大余县审计局</w:t>
      </w:r>
      <w:r>
        <w:rPr>
          <w:rFonts w:hint="eastAsia" w:ascii="仿宋_GB2312" w:hAnsi="仿宋_GB2312" w:eastAsia="仿宋_GB2312" w:cs="仿宋_GB2312"/>
          <w:sz w:val="32"/>
          <w:szCs w:val="32"/>
        </w:rPr>
        <w:t>201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年度部门</w:t>
      </w:r>
      <w:r>
        <w:rPr>
          <w:rFonts w:hint="eastAsia" w:ascii="仿宋_GB2312" w:hAnsi="仿宋_GB2312" w:eastAsia="仿宋_GB2312" w:cs="仿宋_GB2312"/>
          <w:sz w:val="32"/>
          <w:szCs w:val="32"/>
          <w:highlight w:val="none"/>
        </w:rPr>
        <w:t>预算支出</w:t>
      </w:r>
      <w:r>
        <w:rPr>
          <w:rFonts w:hint="eastAsia" w:ascii="仿宋" w:hAnsi="仿宋" w:eastAsia="仿宋"/>
          <w:sz w:val="30"/>
          <w:szCs w:val="30"/>
          <w:lang w:val="en-US" w:eastAsia="zh-CN"/>
        </w:rPr>
        <w:t>881.31</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rPr>
        <w:t>。当年实际完成收入</w:t>
      </w:r>
      <w:r>
        <w:rPr>
          <w:rFonts w:hint="eastAsia" w:ascii="仿宋_GB2312" w:hAnsi="仿宋_GB2312" w:eastAsia="仿宋_GB2312" w:cs="仿宋_GB2312"/>
          <w:sz w:val="32"/>
          <w:szCs w:val="32"/>
          <w:highlight w:val="none"/>
          <w:lang w:val="en-US" w:eastAsia="zh-CN"/>
        </w:rPr>
        <w:t>926.58</w:t>
      </w:r>
      <w:r>
        <w:rPr>
          <w:rFonts w:hint="eastAsia" w:ascii="仿宋_GB2312" w:hAnsi="仿宋_GB2312" w:eastAsia="仿宋_GB2312" w:cs="仿宋_GB2312"/>
          <w:sz w:val="32"/>
          <w:szCs w:val="32"/>
        </w:rPr>
        <w:t>万元；完成支出</w:t>
      </w:r>
      <w:r>
        <w:rPr>
          <w:rFonts w:hint="eastAsia" w:ascii="仿宋" w:hAnsi="仿宋" w:eastAsia="仿宋"/>
          <w:sz w:val="30"/>
          <w:szCs w:val="30"/>
          <w:lang w:val="en-US" w:eastAsia="zh-CN"/>
        </w:rPr>
        <w:t>881.31</w:t>
      </w:r>
      <w:r>
        <w:rPr>
          <w:rFonts w:hint="eastAsia" w:ascii="仿宋_GB2312" w:hAnsi="仿宋_GB2312" w:eastAsia="仿宋_GB2312" w:cs="仿宋_GB2312"/>
          <w:sz w:val="32"/>
          <w:szCs w:val="32"/>
        </w:rPr>
        <w:t>万元，其中工资福利支出314.5万元、商品和服务支出</w:t>
      </w:r>
      <w:r>
        <w:rPr>
          <w:rFonts w:hint="eastAsia" w:ascii="仿宋_GB2312" w:hAnsi="仿宋_GB2312" w:eastAsia="仿宋_GB2312" w:cs="仿宋_GB2312"/>
          <w:sz w:val="32"/>
          <w:szCs w:val="32"/>
          <w:lang w:val="en-US" w:eastAsia="zh-CN"/>
        </w:rPr>
        <w:t>191.65</w:t>
      </w:r>
      <w:r>
        <w:rPr>
          <w:rFonts w:hint="eastAsia" w:ascii="仿宋_GB2312" w:hAnsi="仿宋_GB2312" w:eastAsia="仿宋_GB2312" w:cs="仿宋_GB2312"/>
          <w:sz w:val="32"/>
          <w:szCs w:val="32"/>
        </w:rPr>
        <w:t>万元、对个人和家庭的补助支出</w:t>
      </w:r>
      <w:r>
        <w:rPr>
          <w:rFonts w:hint="eastAsia" w:ascii="仿宋_GB2312" w:hAnsi="仿宋_GB2312" w:eastAsia="仿宋_GB2312" w:cs="仿宋_GB2312"/>
          <w:sz w:val="32"/>
          <w:szCs w:val="32"/>
          <w:lang w:val="en-US" w:eastAsia="zh-CN"/>
        </w:rPr>
        <w:t>3.20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、资本性支出6.02万元，项目支出365.94万元</w:t>
      </w:r>
      <w:r>
        <w:rPr>
          <w:rFonts w:hint="eastAsia" w:ascii="仿宋_GB2312" w:hAnsi="仿宋_GB2312" w:eastAsia="仿宋_GB2312" w:cs="仿宋_GB2312"/>
          <w:sz w:val="32"/>
          <w:szCs w:val="32"/>
        </w:rPr>
        <w:t>；年底结余</w:t>
      </w:r>
      <w:r>
        <w:rPr>
          <w:rFonts w:hint="eastAsia" w:ascii="仿宋_GB2312" w:hAnsi="仿宋_GB2312" w:eastAsia="仿宋_GB2312" w:cs="仿宋_GB2312"/>
          <w:sz w:val="32"/>
          <w:szCs w:val="32"/>
          <w:lang w:val="en-US" w:eastAsia="zh-CN"/>
        </w:rPr>
        <w:t>45.27</w:t>
      </w:r>
      <w:r>
        <w:rPr>
          <w:rFonts w:hint="eastAsia" w:ascii="仿宋_GB2312" w:hAnsi="仿宋_GB2312" w:eastAsia="仿宋_GB2312" w:cs="仿宋_GB2312"/>
          <w:sz w:val="32"/>
          <w:szCs w:val="32"/>
        </w:rPr>
        <w:t>万元，其中基本支出结余</w:t>
      </w:r>
      <w:r>
        <w:rPr>
          <w:rFonts w:hint="eastAsia" w:ascii="仿宋_GB2312" w:hAnsi="仿宋_GB2312" w:eastAsia="仿宋_GB2312" w:cs="仿宋_GB2312"/>
          <w:sz w:val="32"/>
          <w:szCs w:val="32"/>
          <w:lang w:val="en-US" w:eastAsia="zh-CN"/>
        </w:rPr>
        <w:t>45.27</w:t>
      </w:r>
      <w:r>
        <w:rPr>
          <w:rFonts w:hint="eastAsia" w:ascii="仿宋_GB2312" w:hAnsi="仿宋_GB2312" w:eastAsia="仿宋_GB2312" w:cs="仿宋_GB2312"/>
          <w:sz w:val="32"/>
          <w:szCs w:val="32"/>
        </w:rPr>
        <w:t>万元。部门预算支出与执行结果的差异总额</w:t>
      </w:r>
      <w:r>
        <w:rPr>
          <w:rFonts w:hint="eastAsia" w:ascii="仿宋_GB2312" w:hAnsi="仿宋_GB2312" w:eastAsia="仿宋_GB2312" w:cs="仿宋_GB2312"/>
          <w:sz w:val="32"/>
          <w:szCs w:val="32"/>
          <w:highlight w:val="none"/>
        </w:rPr>
        <w:t>为</w:t>
      </w:r>
      <w:r>
        <w:rPr>
          <w:rFonts w:hint="eastAsia" w:ascii="仿宋_GB2312" w:hAnsi="仿宋_GB2312" w:eastAsia="仿宋_GB2312" w:cs="仿宋_GB2312"/>
          <w:sz w:val="32"/>
          <w:szCs w:val="32"/>
          <w:lang w:val="en-US" w:eastAsia="zh-CN"/>
        </w:rPr>
        <w:t>45.27</w:t>
      </w:r>
      <w:r>
        <w:rPr>
          <w:rFonts w:hint="eastAsia" w:ascii="仿宋_GB2312" w:hAnsi="仿宋_GB2312" w:eastAsia="仿宋_GB2312" w:cs="仿宋_GB2312"/>
          <w:sz w:val="32"/>
          <w:szCs w:val="32"/>
        </w:rPr>
        <w:t>万元，差异的具体情况及原因见下表</w:t>
      </w:r>
      <w:r>
        <w:rPr>
          <w:rFonts w:hint="eastAsia" w:ascii="仿宋" w:hAnsi="仿宋" w:eastAsia="仿宋"/>
          <w:sz w:val="32"/>
          <w:szCs w:val="32"/>
        </w:rPr>
        <w:t>：</w:t>
      </w:r>
    </w:p>
    <w:p>
      <w:pPr>
        <w:keepNext w:val="0"/>
        <w:keepLines w:val="0"/>
        <w:pageBreakBefore w:val="0"/>
        <w:widowControl w:val="0"/>
        <w:kinsoku/>
        <w:wordWrap/>
        <w:overflowPunct/>
        <w:topLinePunct w:val="0"/>
        <w:autoSpaceDE/>
        <w:autoSpaceDN/>
        <w:bidi w:val="0"/>
        <w:adjustRightInd/>
        <w:snapToGrid/>
        <w:spacing w:line="620" w:lineRule="exact"/>
        <w:ind w:left="0" w:firstLine="0" w:firstLineChars="0"/>
        <w:textAlignment w:val="auto"/>
        <w:rPr>
          <w:rFonts w:hint="eastAsia"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620" w:lineRule="exact"/>
        <w:ind w:left="0" w:firstLine="0" w:firstLineChars="0"/>
        <w:textAlignment w:val="auto"/>
        <w:rPr>
          <w:rFonts w:hint="eastAsia" w:ascii="仿宋" w:hAnsi="仿宋" w:eastAsia="仿宋"/>
          <w:sz w:val="32"/>
          <w:szCs w:val="32"/>
        </w:rPr>
      </w:pPr>
    </w:p>
    <w:tbl>
      <w:tblPr>
        <w:tblStyle w:val="2"/>
        <w:tblW w:w="0" w:type="auto"/>
        <w:tblInd w:w="93" w:type="dxa"/>
        <w:tblLayout w:type="fixed"/>
        <w:tblCellMar>
          <w:top w:w="0" w:type="dxa"/>
          <w:left w:w="108" w:type="dxa"/>
          <w:bottom w:w="0" w:type="dxa"/>
          <w:right w:w="108" w:type="dxa"/>
        </w:tblCellMar>
      </w:tblPr>
      <w:tblGrid>
        <w:gridCol w:w="2274"/>
        <w:gridCol w:w="898"/>
        <w:gridCol w:w="1743"/>
        <w:gridCol w:w="1743"/>
        <w:gridCol w:w="1743"/>
      </w:tblGrid>
      <w:tr>
        <w:tblPrEx>
          <w:tblCellMar>
            <w:top w:w="0" w:type="dxa"/>
            <w:left w:w="108" w:type="dxa"/>
            <w:bottom w:w="0" w:type="dxa"/>
            <w:right w:w="108" w:type="dxa"/>
          </w:tblCellMar>
        </w:tblPrEx>
        <w:trPr>
          <w:trHeight w:val="285" w:hRule="atLeast"/>
        </w:trPr>
        <w:tc>
          <w:tcPr>
            <w:tcW w:w="8401" w:type="dxa"/>
            <w:gridSpan w:val="5"/>
            <w:tcBorders>
              <w:top w:val="nil"/>
              <w:left w:val="nil"/>
              <w:bottom w:val="nil"/>
              <w:right w:val="nil"/>
            </w:tcBorders>
            <w:noWrap/>
            <w:vAlign w:val="bottom"/>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ascii="宋体" w:hAnsi="宋体" w:cs="宋体"/>
                <w:kern w:val="0"/>
                <w:sz w:val="24"/>
              </w:rPr>
            </w:pPr>
            <w:r>
              <w:rPr>
                <w:rFonts w:hint="eastAsia" w:ascii="宋体" w:hAnsi="宋体" w:cs="宋体"/>
                <w:kern w:val="0"/>
                <w:sz w:val="24"/>
              </w:rPr>
              <w:t xml:space="preserve">         </w:t>
            </w:r>
            <w:r>
              <w:rPr>
                <w:rFonts w:hint="eastAsia" w:ascii="宋体" w:hAnsi="宋体" w:cs="宋体"/>
                <w:kern w:val="0"/>
                <w:sz w:val="24"/>
                <w:lang w:val="en-US" w:eastAsia="zh-CN"/>
              </w:rPr>
              <w:t xml:space="preserve">       </w:t>
            </w:r>
            <w:r>
              <w:rPr>
                <w:rFonts w:hint="eastAsia" w:ascii="宋体" w:hAnsi="宋体" w:cs="宋体"/>
                <w:kern w:val="0"/>
                <w:sz w:val="24"/>
                <w:lang w:eastAsia="zh-CN"/>
              </w:rPr>
              <w:t>大余县审计局</w:t>
            </w:r>
            <w:r>
              <w:rPr>
                <w:rFonts w:hint="eastAsia" w:ascii="宋体" w:hAnsi="宋体" w:cs="宋体"/>
                <w:kern w:val="0"/>
                <w:sz w:val="24"/>
              </w:rPr>
              <w:t>201</w:t>
            </w:r>
            <w:r>
              <w:rPr>
                <w:rFonts w:hint="eastAsia" w:ascii="宋体" w:hAnsi="宋体" w:cs="宋体"/>
                <w:kern w:val="0"/>
                <w:sz w:val="24"/>
                <w:lang w:val="en-US" w:eastAsia="zh-CN"/>
              </w:rPr>
              <w:t>8</w:t>
            </w:r>
            <w:r>
              <w:rPr>
                <w:rFonts w:hint="eastAsia" w:ascii="宋体" w:hAnsi="宋体" w:cs="宋体"/>
                <w:kern w:val="0"/>
                <w:sz w:val="24"/>
              </w:rPr>
              <w:t>年度财政拨款预算执行总体情况</w:t>
            </w:r>
          </w:p>
        </w:tc>
      </w:tr>
      <w:tr>
        <w:tblPrEx>
          <w:tblCellMar>
            <w:top w:w="0" w:type="dxa"/>
            <w:left w:w="108" w:type="dxa"/>
            <w:bottom w:w="0" w:type="dxa"/>
            <w:right w:w="108" w:type="dxa"/>
          </w:tblCellMar>
        </w:tblPrEx>
        <w:trPr>
          <w:trHeight w:val="105" w:hRule="atLeast"/>
        </w:trPr>
        <w:tc>
          <w:tcPr>
            <w:tcW w:w="2274" w:type="dxa"/>
            <w:tcBorders>
              <w:top w:val="nil"/>
              <w:left w:val="nil"/>
              <w:bottom w:val="nil"/>
              <w:right w:val="nil"/>
            </w:tcBorders>
            <w:noWrap/>
            <w:vAlign w:val="bottom"/>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ascii="宋体" w:hAnsi="宋体" w:cs="宋体"/>
                <w:kern w:val="0"/>
                <w:szCs w:val="21"/>
              </w:rPr>
            </w:pPr>
          </w:p>
        </w:tc>
        <w:tc>
          <w:tcPr>
            <w:tcW w:w="898" w:type="dxa"/>
            <w:tcBorders>
              <w:top w:val="nil"/>
              <w:left w:val="nil"/>
              <w:bottom w:val="nil"/>
              <w:right w:val="nil"/>
            </w:tcBorders>
            <w:noWrap/>
            <w:vAlign w:val="bottom"/>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ascii="宋体" w:hAnsi="宋体" w:cs="宋体"/>
                <w:kern w:val="0"/>
                <w:szCs w:val="21"/>
              </w:rPr>
            </w:pPr>
          </w:p>
        </w:tc>
        <w:tc>
          <w:tcPr>
            <w:tcW w:w="1743" w:type="dxa"/>
            <w:tcBorders>
              <w:top w:val="nil"/>
              <w:left w:val="nil"/>
              <w:bottom w:val="nil"/>
              <w:right w:val="nil"/>
            </w:tcBorders>
            <w:noWrap/>
            <w:vAlign w:val="bottom"/>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ascii="宋体" w:hAnsi="宋体" w:cs="宋体"/>
                <w:kern w:val="0"/>
                <w:szCs w:val="21"/>
              </w:rPr>
            </w:pPr>
          </w:p>
        </w:tc>
        <w:tc>
          <w:tcPr>
            <w:tcW w:w="1743" w:type="dxa"/>
            <w:tcBorders>
              <w:top w:val="nil"/>
              <w:left w:val="nil"/>
              <w:bottom w:val="nil"/>
              <w:right w:val="nil"/>
            </w:tcBorders>
            <w:noWrap/>
            <w:vAlign w:val="bottom"/>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ascii="宋体" w:hAnsi="宋体" w:cs="宋体"/>
                <w:kern w:val="0"/>
                <w:szCs w:val="21"/>
              </w:rPr>
            </w:pPr>
          </w:p>
        </w:tc>
        <w:tc>
          <w:tcPr>
            <w:tcW w:w="1743" w:type="dxa"/>
            <w:tcBorders>
              <w:top w:val="nil"/>
              <w:left w:val="nil"/>
              <w:bottom w:val="nil"/>
              <w:right w:val="nil"/>
            </w:tcBorders>
            <w:noWrap/>
            <w:vAlign w:val="bottom"/>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ascii="宋体" w:hAnsi="宋体" w:cs="宋体"/>
                <w:kern w:val="0"/>
                <w:szCs w:val="21"/>
              </w:rPr>
            </w:pPr>
            <w:r>
              <w:rPr>
                <w:rFonts w:hint="eastAsia" w:ascii="宋体" w:hAnsi="宋体" w:cs="宋体"/>
                <w:kern w:val="0"/>
                <w:szCs w:val="21"/>
              </w:rPr>
              <w:t>单位：</w:t>
            </w:r>
            <w:r>
              <w:rPr>
                <w:rFonts w:hint="eastAsia" w:ascii="宋体" w:hAnsi="宋体" w:cs="宋体"/>
                <w:kern w:val="0"/>
                <w:szCs w:val="21"/>
                <w:lang w:eastAsia="zh-CN"/>
              </w:rPr>
              <w:t>万</w:t>
            </w:r>
            <w:r>
              <w:rPr>
                <w:rFonts w:hint="eastAsia" w:ascii="宋体" w:hAnsi="宋体" w:cs="宋体"/>
                <w:kern w:val="0"/>
                <w:szCs w:val="21"/>
              </w:rPr>
              <w:t>元</w:t>
            </w:r>
          </w:p>
        </w:tc>
      </w:tr>
      <w:tr>
        <w:tblPrEx>
          <w:tblCellMar>
            <w:top w:w="0" w:type="dxa"/>
            <w:left w:w="108" w:type="dxa"/>
            <w:bottom w:w="0" w:type="dxa"/>
            <w:right w:w="108" w:type="dxa"/>
          </w:tblCellMar>
        </w:tblPrEx>
        <w:trPr>
          <w:trHeight w:val="285" w:hRule="atLeast"/>
        </w:trPr>
        <w:tc>
          <w:tcPr>
            <w:tcW w:w="2274"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ascii="宋体" w:hAnsi="宋体" w:cs="宋体"/>
                <w:kern w:val="0"/>
                <w:szCs w:val="21"/>
              </w:rPr>
            </w:pPr>
            <w:r>
              <w:rPr>
                <w:rFonts w:hint="eastAsia" w:ascii="宋体" w:hAnsi="宋体" w:cs="宋体"/>
                <w:kern w:val="0"/>
                <w:szCs w:val="21"/>
              </w:rPr>
              <w:t>预算数</w:t>
            </w:r>
          </w:p>
        </w:tc>
        <w:tc>
          <w:tcPr>
            <w:tcW w:w="898" w:type="dxa"/>
            <w:vMerge w:val="restar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ascii="宋体" w:hAnsi="宋体" w:cs="宋体"/>
                <w:kern w:val="0"/>
                <w:szCs w:val="21"/>
              </w:rPr>
            </w:pPr>
            <w:r>
              <w:rPr>
                <w:rFonts w:hint="eastAsia" w:ascii="宋体" w:hAnsi="宋体" w:cs="宋体"/>
                <w:kern w:val="0"/>
                <w:szCs w:val="21"/>
              </w:rPr>
              <w:t>小计</w:t>
            </w:r>
          </w:p>
        </w:tc>
        <w:tc>
          <w:tcPr>
            <w:tcW w:w="3486" w:type="dxa"/>
            <w:gridSpan w:val="2"/>
            <w:tcBorders>
              <w:top w:val="single" w:color="auto" w:sz="4" w:space="0"/>
              <w:left w:val="nil"/>
              <w:bottom w:val="single" w:color="auto" w:sz="4" w:space="0"/>
              <w:right w:val="single" w:color="auto" w:sz="4" w:space="0"/>
            </w:tcBorders>
            <w:noWrap/>
            <w:vAlign w:val="bottom"/>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center"/>
              <w:textAlignment w:val="auto"/>
              <w:rPr>
                <w:rFonts w:ascii="宋体" w:hAnsi="宋体" w:cs="宋体"/>
                <w:kern w:val="0"/>
                <w:szCs w:val="21"/>
              </w:rPr>
            </w:pPr>
            <w:r>
              <w:rPr>
                <w:rFonts w:hint="eastAsia" w:ascii="宋体" w:hAnsi="宋体" w:cs="宋体"/>
                <w:kern w:val="0"/>
                <w:szCs w:val="21"/>
              </w:rPr>
              <w:t>基本支出</w:t>
            </w:r>
          </w:p>
        </w:tc>
        <w:tc>
          <w:tcPr>
            <w:tcW w:w="1743" w:type="dxa"/>
            <w:vMerge w:val="restar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ascii="宋体" w:hAnsi="宋体" w:cs="宋体"/>
                <w:kern w:val="0"/>
                <w:szCs w:val="21"/>
              </w:rPr>
            </w:pPr>
            <w:r>
              <w:rPr>
                <w:rFonts w:hint="eastAsia" w:ascii="宋体" w:hAnsi="宋体" w:cs="宋体"/>
                <w:kern w:val="0"/>
                <w:szCs w:val="21"/>
              </w:rPr>
              <w:t>项目支出</w:t>
            </w:r>
          </w:p>
        </w:tc>
      </w:tr>
      <w:tr>
        <w:tblPrEx>
          <w:tblCellMar>
            <w:top w:w="0" w:type="dxa"/>
            <w:left w:w="108" w:type="dxa"/>
            <w:bottom w:w="0" w:type="dxa"/>
            <w:right w:w="108" w:type="dxa"/>
          </w:tblCellMar>
        </w:tblPrEx>
        <w:trPr>
          <w:trHeight w:val="285" w:hRule="atLeast"/>
        </w:trPr>
        <w:tc>
          <w:tcPr>
            <w:tcW w:w="2274"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ascii="宋体" w:hAnsi="宋体" w:cs="宋体"/>
                <w:kern w:val="0"/>
                <w:szCs w:val="21"/>
              </w:rPr>
            </w:pPr>
          </w:p>
        </w:tc>
        <w:tc>
          <w:tcPr>
            <w:tcW w:w="89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ascii="宋体" w:hAnsi="宋体" w:cs="宋体"/>
                <w:kern w:val="0"/>
                <w:szCs w:val="21"/>
              </w:rPr>
            </w:pPr>
          </w:p>
        </w:tc>
        <w:tc>
          <w:tcPr>
            <w:tcW w:w="1743" w:type="dxa"/>
            <w:tcBorders>
              <w:top w:val="nil"/>
              <w:left w:val="nil"/>
              <w:bottom w:val="single" w:color="auto" w:sz="4" w:space="0"/>
              <w:right w:val="single" w:color="auto" w:sz="4" w:space="0"/>
            </w:tcBorders>
            <w:noWrap/>
            <w:vAlign w:val="bottom"/>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center"/>
              <w:textAlignment w:val="auto"/>
              <w:rPr>
                <w:rFonts w:ascii="宋体" w:hAnsi="宋体" w:cs="宋体"/>
                <w:kern w:val="0"/>
                <w:szCs w:val="21"/>
              </w:rPr>
            </w:pPr>
            <w:r>
              <w:rPr>
                <w:rFonts w:hint="eastAsia" w:ascii="宋体" w:hAnsi="宋体" w:cs="宋体"/>
                <w:kern w:val="0"/>
                <w:szCs w:val="21"/>
              </w:rPr>
              <w:t>人员经费</w:t>
            </w:r>
          </w:p>
        </w:tc>
        <w:tc>
          <w:tcPr>
            <w:tcW w:w="1743" w:type="dxa"/>
            <w:tcBorders>
              <w:top w:val="nil"/>
              <w:left w:val="nil"/>
              <w:bottom w:val="single" w:color="auto" w:sz="4" w:space="0"/>
              <w:right w:val="single" w:color="auto" w:sz="4" w:space="0"/>
            </w:tcBorders>
            <w:noWrap/>
            <w:vAlign w:val="bottom"/>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center"/>
              <w:textAlignment w:val="auto"/>
              <w:rPr>
                <w:rFonts w:ascii="宋体" w:hAnsi="宋体" w:cs="宋体"/>
                <w:kern w:val="0"/>
                <w:szCs w:val="21"/>
              </w:rPr>
            </w:pPr>
            <w:r>
              <w:rPr>
                <w:rFonts w:hint="eastAsia" w:ascii="宋体" w:hAnsi="宋体" w:cs="宋体"/>
                <w:kern w:val="0"/>
                <w:szCs w:val="21"/>
              </w:rPr>
              <w:t>公用经费</w:t>
            </w:r>
          </w:p>
        </w:tc>
        <w:tc>
          <w:tcPr>
            <w:tcW w:w="17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ascii="宋体" w:hAnsi="宋体" w:cs="宋体"/>
                <w:kern w:val="0"/>
                <w:szCs w:val="21"/>
              </w:rPr>
            </w:pPr>
          </w:p>
        </w:tc>
      </w:tr>
      <w:tr>
        <w:tblPrEx>
          <w:tblCellMar>
            <w:top w:w="0" w:type="dxa"/>
            <w:left w:w="108" w:type="dxa"/>
            <w:bottom w:w="0" w:type="dxa"/>
            <w:right w:w="108" w:type="dxa"/>
          </w:tblCellMar>
        </w:tblPrEx>
        <w:trPr>
          <w:trHeight w:val="275" w:hRule="atLeast"/>
        </w:trPr>
        <w:tc>
          <w:tcPr>
            <w:tcW w:w="2274"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ascii="宋体" w:hAnsi="宋体" w:cs="宋体"/>
                <w:kern w:val="0"/>
                <w:szCs w:val="21"/>
              </w:rPr>
            </w:pPr>
          </w:p>
        </w:tc>
        <w:tc>
          <w:tcPr>
            <w:tcW w:w="898"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ascii="宋体" w:hAnsi="宋体" w:cs="宋体"/>
                <w:kern w:val="0"/>
                <w:szCs w:val="21"/>
              </w:rPr>
            </w:pPr>
            <w:r>
              <w:rPr>
                <w:rFonts w:hint="eastAsia" w:ascii="宋体" w:hAnsi="宋体" w:cs="宋体"/>
                <w:kern w:val="0"/>
                <w:szCs w:val="21"/>
              </w:rPr>
              <w:t>　</w:t>
            </w:r>
          </w:p>
        </w:tc>
        <w:tc>
          <w:tcPr>
            <w:tcW w:w="1743" w:type="dxa"/>
            <w:tcBorders>
              <w:top w:val="nil"/>
              <w:left w:val="nil"/>
              <w:bottom w:val="single" w:color="auto" w:sz="4" w:space="0"/>
              <w:right w:val="single" w:color="auto" w:sz="4" w:space="0"/>
            </w:tcBorders>
            <w:noWrap/>
            <w:vAlign w:val="bottom"/>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hint="default" w:ascii="宋体" w:hAnsi="宋体" w:eastAsia="宋体" w:cs="宋体"/>
                <w:kern w:val="0"/>
                <w:szCs w:val="21"/>
                <w:lang w:val="en-US" w:eastAsia="zh-CN"/>
              </w:rPr>
            </w:pPr>
            <w:r>
              <w:rPr>
                <w:rFonts w:hint="eastAsia" w:ascii="宋体" w:hAnsi="宋体" w:cs="宋体"/>
                <w:kern w:val="0"/>
                <w:szCs w:val="21"/>
              </w:rPr>
              <w:t>　</w:t>
            </w:r>
            <w:r>
              <w:rPr>
                <w:rFonts w:hint="eastAsia" w:ascii="宋体" w:hAnsi="宋体" w:cs="宋体"/>
                <w:kern w:val="0"/>
                <w:szCs w:val="21"/>
                <w:lang w:val="en-US" w:eastAsia="zh-CN"/>
              </w:rPr>
              <w:t>317.71</w:t>
            </w:r>
          </w:p>
        </w:tc>
        <w:tc>
          <w:tcPr>
            <w:tcW w:w="1743" w:type="dxa"/>
            <w:tcBorders>
              <w:top w:val="nil"/>
              <w:left w:val="nil"/>
              <w:bottom w:val="single" w:color="auto" w:sz="4" w:space="0"/>
              <w:right w:val="single" w:color="auto" w:sz="4" w:space="0"/>
            </w:tcBorders>
            <w:noWrap/>
            <w:vAlign w:val="bottom"/>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hint="default" w:ascii="宋体" w:hAnsi="宋体" w:eastAsia="宋体" w:cs="宋体"/>
                <w:kern w:val="0"/>
                <w:szCs w:val="21"/>
                <w:lang w:val="en-US" w:eastAsia="zh-CN"/>
              </w:rPr>
            </w:pPr>
            <w:r>
              <w:rPr>
                <w:rFonts w:hint="eastAsia" w:ascii="宋体" w:hAnsi="宋体" w:cs="宋体"/>
                <w:kern w:val="0"/>
                <w:szCs w:val="21"/>
              </w:rPr>
              <w:t>　</w:t>
            </w:r>
            <w:r>
              <w:rPr>
                <w:rFonts w:hint="eastAsia" w:ascii="宋体" w:hAnsi="宋体" w:cs="宋体"/>
                <w:kern w:val="0"/>
                <w:szCs w:val="21"/>
                <w:lang w:val="en-US" w:eastAsia="zh-CN"/>
              </w:rPr>
              <w:t>242.93</w:t>
            </w:r>
          </w:p>
        </w:tc>
        <w:tc>
          <w:tcPr>
            <w:tcW w:w="174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hint="default" w:ascii="宋体" w:hAnsi="宋体" w:eastAsia="宋体" w:cs="宋体"/>
                <w:kern w:val="0"/>
                <w:szCs w:val="21"/>
                <w:lang w:val="en-US" w:eastAsia="zh-CN"/>
              </w:rPr>
            </w:pPr>
            <w:r>
              <w:rPr>
                <w:rFonts w:hint="eastAsia" w:ascii="宋体" w:hAnsi="宋体" w:cs="宋体"/>
                <w:kern w:val="0"/>
                <w:szCs w:val="21"/>
              </w:rPr>
              <w:t>　</w:t>
            </w:r>
            <w:r>
              <w:rPr>
                <w:rFonts w:hint="eastAsia" w:ascii="宋体" w:hAnsi="宋体" w:cs="宋体"/>
                <w:kern w:val="0"/>
                <w:szCs w:val="21"/>
                <w:lang w:val="en-US" w:eastAsia="zh-CN"/>
              </w:rPr>
              <w:t>365.94</w:t>
            </w:r>
          </w:p>
        </w:tc>
      </w:tr>
      <w:tr>
        <w:tblPrEx>
          <w:tblCellMar>
            <w:top w:w="0" w:type="dxa"/>
            <w:left w:w="108" w:type="dxa"/>
            <w:bottom w:w="0" w:type="dxa"/>
            <w:right w:w="108" w:type="dxa"/>
          </w:tblCellMar>
        </w:tblPrEx>
        <w:trPr>
          <w:trHeight w:val="285" w:hRule="atLeast"/>
        </w:trPr>
        <w:tc>
          <w:tcPr>
            <w:tcW w:w="2274"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ascii="宋体" w:hAnsi="宋体" w:cs="宋体"/>
                <w:kern w:val="0"/>
                <w:szCs w:val="21"/>
              </w:rPr>
            </w:pPr>
            <w:r>
              <w:rPr>
                <w:rFonts w:hint="eastAsia" w:ascii="宋体" w:hAnsi="宋体" w:cs="宋体"/>
                <w:kern w:val="0"/>
                <w:szCs w:val="21"/>
              </w:rPr>
              <w:t>执行数</w:t>
            </w:r>
          </w:p>
        </w:tc>
        <w:tc>
          <w:tcPr>
            <w:tcW w:w="898" w:type="dxa"/>
            <w:vMerge w:val="restart"/>
            <w:tcBorders>
              <w:top w:val="nil"/>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ascii="宋体" w:hAnsi="宋体" w:cs="宋体"/>
                <w:kern w:val="0"/>
                <w:szCs w:val="21"/>
              </w:rPr>
            </w:pPr>
            <w:r>
              <w:rPr>
                <w:rFonts w:hint="eastAsia" w:ascii="宋体" w:hAnsi="宋体" w:cs="宋体"/>
                <w:kern w:val="0"/>
                <w:szCs w:val="21"/>
              </w:rPr>
              <w:t>小计</w:t>
            </w:r>
          </w:p>
        </w:tc>
        <w:tc>
          <w:tcPr>
            <w:tcW w:w="3486" w:type="dxa"/>
            <w:gridSpan w:val="2"/>
            <w:tcBorders>
              <w:top w:val="single" w:color="auto" w:sz="4" w:space="0"/>
              <w:left w:val="nil"/>
              <w:bottom w:val="single" w:color="auto" w:sz="4" w:space="0"/>
              <w:right w:val="single" w:color="auto" w:sz="4" w:space="0"/>
            </w:tcBorders>
            <w:noWrap/>
            <w:vAlign w:val="bottom"/>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center"/>
              <w:textAlignment w:val="auto"/>
              <w:rPr>
                <w:rFonts w:ascii="宋体" w:hAnsi="宋体" w:cs="宋体"/>
                <w:kern w:val="0"/>
                <w:szCs w:val="21"/>
              </w:rPr>
            </w:pPr>
            <w:r>
              <w:rPr>
                <w:rFonts w:hint="eastAsia" w:ascii="宋体" w:hAnsi="宋体" w:cs="宋体"/>
                <w:kern w:val="0"/>
                <w:szCs w:val="21"/>
              </w:rPr>
              <w:t>基本支出</w:t>
            </w:r>
          </w:p>
        </w:tc>
        <w:tc>
          <w:tcPr>
            <w:tcW w:w="1743" w:type="dxa"/>
            <w:vMerge w:val="restart"/>
            <w:tcBorders>
              <w:top w:val="nil"/>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ascii="宋体" w:hAnsi="宋体" w:cs="宋体"/>
                <w:kern w:val="0"/>
                <w:szCs w:val="21"/>
              </w:rPr>
            </w:pPr>
            <w:r>
              <w:rPr>
                <w:rFonts w:hint="eastAsia" w:ascii="宋体" w:hAnsi="宋体" w:cs="宋体"/>
                <w:kern w:val="0"/>
                <w:szCs w:val="21"/>
              </w:rPr>
              <w:t>项目支出</w:t>
            </w:r>
          </w:p>
        </w:tc>
      </w:tr>
      <w:tr>
        <w:tblPrEx>
          <w:tblCellMar>
            <w:top w:w="0" w:type="dxa"/>
            <w:left w:w="108" w:type="dxa"/>
            <w:bottom w:w="0" w:type="dxa"/>
            <w:right w:w="108" w:type="dxa"/>
          </w:tblCellMar>
        </w:tblPrEx>
        <w:trPr>
          <w:trHeight w:val="285" w:hRule="atLeast"/>
        </w:trPr>
        <w:tc>
          <w:tcPr>
            <w:tcW w:w="2274"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ascii="宋体" w:hAnsi="宋体" w:cs="宋体"/>
                <w:kern w:val="0"/>
                <w:szCs w:val="21"/>
              </w:rPr>
            </w:pPr>
          </w:p>
        </w:tc>
        <w:tc>
          <w:tcPr>
            <w:tcW w:w="898"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ascii="宋体" w:hAnsi="宋体" w:cs="宋体"/>
                <w:kern w:val="0"/>
                <w:szCs w:val="21"/>
              </w:rPr>
            </w:pPr>
          </w:p>
        </w:tc>
        <w:tc>
          <w:tcPr>
            <w:tcW w:w="1743" w:type="dxa"/>
            <w:tcBorders>
              <w:top w:val="nil"/>
              <w:left w:val="nil"/>
              <w:bottom w:val="single" w:color="auto" w:sz="4" w:space="0"/>
              <w:right w:val="single" w:color="auto" w:sz="4" w:space="0"/>
            </w:tcBorders>
            <w:noWrap/>
            <w:vAlign w:val="bottom"/>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center"/>
              <w:textAlignment w:val="auto"/>
              <w:rPr>
                <w:rFonts w:ascii="宋体" w:hAnsi="宋体" w:cs="宋体"/>
                <w:kern w:val="0"/>
                <w:szCs w:val="21"/>
              </w:rPr>
            </w:pPr>
            <w:r>
              <w:rPr>
                <w:rFonts w:hint="eastAsia" w:ascii="宋体" w:hAnsi="宋体" w:cs="宋体"/>
                <w:kern w:val="0"/>
                <w:szCs w:val="21"/>
              </w:rPr>
              <w:t>人员经费</w:t>
            </w:r>
          </w:p>
        </w:tc>
        <w:tc>
          <w:tcPr>
            <w:tcW w:w="1743" w:type="dxa"/>
            <w:tcBorders>
              <w:top w:val="nil"/>
              <w:left w:val="nil"/>
              <w:bottom w:val="single" w:color="auto" w:sz="4" w:space="0"/>
              <w:right w:val="single" w:color="auto" w:sz="4" w:space="0"/>
            </w:tcBorders>
            <w:noWrap/>
            <w:vAlign w:val="bottom"/>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center"/>
              <w:textAlignment w:val="auto"/>
              <w:rPr>
                <w:rFonts w:ascii="宋体" w:hAnsi="宋体" w:cs="宋体"/>
                <w:kern w:val="0"/>
                <w:szCs w:val="21"/>
              </w:rPr>
            </w:pPr>
            <w:r>
              <w:rPr>
                <w:rFonts w:hint="eastAsia" w:ascii="宋体" w:hAnsi="宋体" w:cs="宋体"/>
                <w:kern w:val="0"/>
                <w:szCs w:val="21"/>
              </w:rPr>
              <w:t>公用经费</w:t>
            </w:r>
          </w:p>
        </w:tc>
        <w:tc>
          <w:tcPr>
            <w:tcW w:w="1743"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ascii="宋体" w:hAnsi="宋体" w:cs="宋体"/>
                <w:kern w:val="0"/>
                <w:szCs w:val="21"/>
              </w:rPr>
            </w:pPr>
          </w:p>
        </w:tc>
      </w:tr>
      <w:tr>
        <w:tblPrEx>
          <w:tblCellMar>
            <w:top w:w="0" w:type="dxa"/>
            <w:left w:w="108" w:type="dxa"/>
            <w:bottom w:w="0" w:type="dxa"/>
            <w:right w:w="108" w:type="dxa"/>
          </w:tblCellMar>
        </w:tblPrEx>
        <w:trPr>
          <w:trHeight w:val="315" w:hRule="atLeast"/>
        </w:trPr>
        <w:tc>
          <w:tcPr>
            <w:tcW w:w="2274"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ascii="宋体" w:hAnsi="宋体" w:cs="宋体"/>
                <w:kern w:val="0"/>
                <w:szCs w:val="21"/>
              </w:rPr>
            </w:pPr>
          </w:p>
        </w:tc>
        <w:tc>
          <w:tcPr>
            <w:tcW w:w="898"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ascii="宋体" w:hAnsi="宋体" w:cs="宋体"/>
                <w:kern w:val="0"/>
                <w:szCs w:val="21"/>
              </w:rPr>
            </w:pPr>
            <w:r>
              <w:rPr>
                <w:rFonts w:hint="eastAsia" w:ascii="宋体" w:hAnsi="宋体" w:cs="宋体"/>
                <w:kern w:val="0"/>
                <w:szCs w:val="21"/>
              </w:rPr>
              <w:t>　</w:t>
            </w:r>
          </w:p>
        </w:tc>
        <w:tc>
          <w:tcPr>
            <w:tcW w:w="1743" w:type="dxa"/>
            <w:tcBorders>
              <w:top w:val="nil"/>
              <w:left w:val="nil"/>
              <w:bottom w:val="single" w:color="auto" w:sz="4" w:space="0"/>
              <w:right w:val="single" w:color="auto" w:sz="4" w:space="0"/>
            </w:tcBorders>
            <w:noWrap/>
            <w:vAlign w:val="bottom"/>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hint="default" w:ascii="宋体" w:hAnsi="宋体" w:eastAsia="宋体" w:cs="宋体"/>
                <w:kern w:val="0"/>
                <w:szCs w:val="21"/>
                <w:lang w:val="en-US" w:eastAsia="zh-CN"/>
              </w:rPr>
            </w:pPr>
            <w:r>
              <w:rPr>
                <w:rFonts w:hint="eastAsia" w:ascii="宋体" w:hAnsi="宋体" w:cs="宋体"/>
                <w:kern w:val="0"/>
                <w:szCs w:val="21"/>
              </w:rPr>
              <w:t>　</w:t>
            </w:r>
            <w:r>
              <w:rPr>
                <w:rFonts w:hint="eastAsia" w:ascii="宋体" w:hAnsi="宋体" w:cs="宋体"/>
                <w:kern w:val="0"/>
                <w:szCs w:val="21"/>
                <w:lang w:val="en-US" w:eastAsia="zh-CN"/>
              </w:rPr>
              <w:t>317.71</w:t>
            </w:r>
          </w:p>
        </w:tc>
        <w:tc>
          <w:tcPr>
            <w:tcW w:w="1743" w:type="dxa"/>
            <w:tcBorders>
              <w:top w:val="nil"/>
              <w:left w:val="nil"/>
              <w:bottom w:val="single" w:color="auto" w:sz="4" w:space="0"/>
              <w:right w:val="single" w:color="auto" w:sz="4" w:space="0"/>
            </w:tcBorders>
            <w:noWrap/>
            <w:vAlign w:val="bottom"/>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hint="default" w:ascii="宋体" w:hAnsi="宋体" w:eastAsia="宋体" w:cs="宋体"/>
                <w:kern w:val="0"/>
                <w:szCs w:val="21"/>
                <w:lang w:val="en-US" w:eastAsia="zh-CN"/>
              </w:rPr>
            </w:pPr>
            <w:r>
              <w:rPr>
                <w:rFonts w:hint="eastAsia" w:ascii="宋体" w:hAnsi="宋体" w:cs="宋体"/>
                <w:kern w:val="0"/>
                <w:szCs w:val="21"/>
              </w:rPr>
              <w:t>　</w:t>
            </w:r>
            <w:r>
              <w:rPr>
                <w:rFonts w:hint="eastAsia" w:ascii="宋体" w:hAnsi="宋体" w:cs="宋体"/>
                <w:kern w:val="0"/>
                <w:szCs w:val="21"/>
                <w:lang w:val="en-US" w:eastAsia="zh-CN"/>
              </w:rPr>
              <w:t>197.66</w:t>
            </w:r>
          </w:p>
        </w:tc>
        <w:tc>
          <w:tcPr>
            <w:tcW w:w="174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hint="default" w:ascii="宋体" w:hAnsi="宋体" w:eastAsia="宋体" w:cs="宋体"/>
                <w:kern w:val="0"/>
                <w:szCs w:val="21"/>
                <w:lang w:val="en-US" w:eastAsia="zh-CN"/>
              </w:rPr>
            </w:pPr>
            <w:r>
              <w:rPr>
                <w:rFonts w:hint="eastAsia" w:ascii="宋体" w:hAnsi="宋体" w:cs="宋体"/>
                <w:kern w:val="0"/>
                <w:szCs w:val="21"/>
              </w:rPr>
              <w:t>　</w:t>
            </w:r>
            <w:r>
              <w:rPr>
                <w:rFonts w:hint="eastAsia" w:ascii="宋体" w:hAnsi="宋体" w:cs="宋体"/>
                <w:kern w:val="0"/>
                <w:szCs w:val="21"/>
                <w:lang w:val="en-US" w:eastAsia="zh-CN"/>
              </w:rPr>
              <w:t>365.94</w:t>
            </w:r>
          </w:p>
        </w:tc>
      </w:tr>
      <w:tr>
        <w:tblPrEx>
          <w:tblCellMar>
            <w:top w:w="0" w:type="dxa"/>
            <w:left w:w="108" w:type="dxa"/>
            <w:bottom w:w="0" w:type="dxa"/>
            <w:right w:w="108" w:type="dxa"/>
          </w:tblCellMar>
        </w:tblPrEx>
        <w:trPr>
          <w:trHeight w:val="285" w:hRule="atLeast"/>
        </w:trPr>
        <w:tc>
          <w:tcPr>
            <w:tcW w:w="2274"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ascii="宋体" w:hAnsi="宋体" w:cs="宋体"/>
                <w:kern w:val="0"/>
                <w:szCs w:val="21"/>
              </w:rPr>
            </w:pPr>
            <w:r>
              <w:rPr>
                <w:rFonts w:hint="eastAsia" w:ascii="宋体" w:hAnsi="宋体" w:cs="宋体"/>
                <w:kern w:val="0"/>
                <w:szCs w:val="21"/>
              </w:rPr>
              <w:t>预算与执行的差异数</w:t>
            </w:r>
          </w:p>
        </w:tc>
        <w:tc>
          <w:tcPr>
            <w:tcW w:w="898" w:type="dxa"/>
            <w:vMerge w:val="restart"/>
            <w:tcBorders>
              <w:top w:val="nil"/>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ascii="宋体" w:hAnsi="宋体" w:cs="宋体"/>
                <w:kern w:val="0"/>
                <w:szCs w:val="21"/>
              </w:rPr>
            </w:pPr>
            <w:r>
              <w:rPr>
                <w:rFonts w:hint="eastAsia" w:ascii="宋体" w:hAnsi="宋体" w:cs="宋体"/>
                <w:kern w:val="0"/>
                <w:szCs w:val="21"/>
              </w:rPr>
              <w:t>小计</w:t>
            </w:r>
          </w:p>
        </w:tc>
        <w:tc>
          <w:tcPr>
            <w:tcW w:w="3486" w:type="dxa"/>
            <w:gridSpan w:val="2"/>
            <w:tcBorders>
              <w:top w:val="single" w:color="auto" w:sz="4" w:space="0"/>
              <w:left w:val="nil"/>
              <w:bottom w:val="single" w:color="auto" w:sz="4" w:space="0"/>
              <w:right w:val="single" w:color="auto" w:sz="4" w:space="0"/>
            </w:tcBorders>
            <w:noWrap/>
            <w:vAlign w:val="bottom"/>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center"/>
              <w:textAlignment w:val="auto"/>
              <w:rPr>
                <w:rFonts w:ascii="宋体" w:hAnsi="宋体" w:cs="宋体"/>
                <w:kern w:val="0"/>
                <w:szCs w:val="21"/>
              </w:rPr>
            </w:pPr>
            <w:r>
              <w:rPr>
                <w:rFonts w:hint="eastAsia" w:ascii="宋体" w:hAnsi="宋体" w:cs="宋体"/>
                <w:kern w:val="0"/>
                <w:szCs w:val="21"/>
              </w:rPr>
              <w:t>基本支出</w:t>
            </w:r>
          </w:p>
        </w:tc>
        <w:tc>
          <w:tcPr>
            <w:tcW w:w="1743" w:type="dxa"/>
            <w:vMerge w:val="restart"/>
            <w:tcBorders>
              <w:top w:val="nil"/>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ascii="宋体" w:hAnsi="宋体" w:cs="宋体"/>
                <w:kern w:val="0"/>
                <w:szCs w:val="21"/>
              </w:rPr>
            </w:pPr>
            <w:r>
              <w:rPr>
                <w:rFonts w:hint="eastAsia" w:ascii="宋体" w:hAnsi="宋体" w:cs="宋体"/>
                <w:kern w:val="0"/>
                <w:szCs w:val="21"/>
              </w:rPr>
              <w:t>项目支出</w:t>
            </w:r>
          </w:p>
        </w:tc>
      </w:tr>
      <w:tr>
        <w:tblPrEx>
          <w:tblCellMar>
            <w:top w:w="0" w:type="dxa"/>
            <w:left w:w="108" w:type="dxa"/>
            <w:bottom w:w="0" w:type="dxa"/>
            <w:right w:w="108" w:type="dxa"/>
          </w:tblCellMar>
        </w:tblPrEx>
        <w:trPr>
          <w:trHeight w:val="285" w:hRule="atLeast"/>
        </w:trPr>
        <w:tc>
          <w:tcPr>
            <w:tcW w:w="2274"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ascii="宋体" w:hAnsi="宋体" w:cs="宋体"/>
                <w:kern w:val="0"/>
                <w:szCs w:val="21"/>
              </w:rPr>
            </w:pPr>
          </w:p>
        </w:tc>
        <w:tc>
          <w:tcPr>
            <w:tcW w:w="898"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ascii="宋体" w:hAnsi="宋体" w:cs="宋体"/>
                <w:kern w:val="0"/>
                <w:szCs w:val="21"/>
              </w:rPr>
            </w:pPr>
          </w:p>
        </w:tc>
        <w:tc>
          <w:tcPr>
            <w:tcW w:w="1743" w:type="dxa"/>
            <w:tcBorders>
              <w:top w:val="nil"/>
              <w:left w:val="nil"/>
              <w:bottom w:val="single" w:color="auto" w:sz="4" w:space="0"/>
              <w:right w:val="single" w:color="auto" w:sz="4" w:space="0"/>
            </w:tcBorders>
            <w:noWrap/>
            <w:vAlign w:val="bottom"/>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center"/>
              <w:textAlignment w:val="auto"/>
              <w:rPr>
                <w:rFonts w:ascii="宋体" w:hAnsi="宋体" w:cs="宋体"/>
                <w:kern w:val="0"/>
                <w:szCs w:val="21"/>
              </w:rPr>
            </w:pPr>
            <w:r>
              <w:rPr>
                <w:rFonts w:hint="eastAsia" w:ascii="宋体" w:hAnsi="宋体" w:cs="宋体"/>
                <w:kern w:val="0"/>
                <w:szCs w:val="21"/>
              </w:rPr>
              <w:t>人员经费</w:t>
            </w:r>
          </w:p>
        </w:tc>
        <w:tc>
          <w:tcPr>
            <w:tcW w:w="1743" w:type="dxa"/>
            <w:tcBorders>
              <w:top w:val="nil"/>
              <w:left w:val="nil"/>
              <w:bottom w:val="single" w:color="auto" w:sz="4" w:space="0"/>
              <w:right w:val="single" w:color="auto" w:sz="4" w:space="0"/>
            </w:tcBorders>
            <w:noWrap/>
            <w:vAlign w:val="bottom"/>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center"/>
              <w:textAlignment w:val="auto"/>
              <w:rPr>
                <w:rFonts w:ascii="宋体" w:hAnsi="宋体" w:cs="宋体"/>
                <w:kern w:val="0"/>
                <w:szCs w:val="21"/>
              </w:rPr>
            </w:pPr>
            <w:r>
              <w:rPr>
                <w:rFonts w:hint="eastAsia" w:ascii="宋体" w:hAnsi="宋体" w:cs="宋体"/>
                <w:kern w:val="0"/>
                <w:szCs w:val="21"/>
              </w:rPr>
              <w:t>公用经费</w:t>
            </w:r>
          </w:p>
        </w:tc>
        <w:tc>
          <w:tcPr>
            <w:tcW w:w="1743"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ascii="宋体" w:hAnsi="宋体" w:cs="宋体"/>
                <w:kern w:val="0"/>
                <w:szCs w:val="21"/>
              </w:rPr>
            </w:pPr>
          </w:p>
        </w:tc>
      </w:tr>
      <w:tr>
        <w:tblPrEx>
          <w:tblCellMar>
            <w:top w:w="0" w:type="dxa"/>
            <w:left w:w="108" w:type="dxa"/>
            <w:bottom w:w="0" w:type="dxa"/>
            <w:right w:w="108" w:type="dxa"/>
          </w:tblCellMar>
        </w:tblPrEx>
        <w:trPr>
          <w:trHeight w:val="285" w:hRule="atLeast"/>
        </w:trPr>
        <w:tc>
          <w:tcPr>
            <w:tcW w:w="2274"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ascii="宋体" w:hAnsi="宋体" w:cs="宋体"/>
                <w:kern w:val="0"/>
                <w:szCs w:val="21"/>
              </w:rPr>
            </w:pPr>
          </w:p>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ascii="宋体" w:hAnsi="宋体" w:cs="宋体"/>
                <w:kern w:val="0"/>
                <w:szCs w:val="21"/>
              </w:rPr>
            </w:pPr>
          </w:p>
        </w:tc>
        <w:tc>
          <w:tcPr>
            <w:tcW w:w="898"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ascii="宋体" w:hAnsi="宋体" w:cs="宋体"/>
                <w:kern w:val="0"/>
                <w:szCs w:val="21"/>
              </w:rPr>
            </w:pPr>
          </w:p>
        </w:tc>
        <w:tc>
          <w:tcPr>
            <w:tcW w:w="1743" w:type="dxa"/>
            <w:tcBorders>
              <w:top w:val="nil"/>
              <w:left w:val="nil"/>
              <w:bottom w:val="single" w:color="auto" w:sz="4" w:space="0"/>
              <w:right w:val="single" w:color="auto" w:sz="4" w:space="0"/>
            </w:tcBorders>
            <w:noWrap/>
            <w:vAlign w:val="bottom"/>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center"/>
              <w:textAlignment w:val="auto"/>
              <w:rPr>
                <w:rFonts w:hint="default" w:ascii="宋体" w:hAnsi="宋体" w:eastAsia="宋体" w:cs="宋体"/>
                <w:kern w:val="0"/>
                <w:szCs w:val="21"/>
                <w:lang w:val="en-US" w:eastAsia="zh-CN"/>
              </w:rPr>
            </w:pPr>
            <w:r>
              <w:rPr>
                <w:rFonts w:hint="eastAsia" w:ascii="宋体" w:hAnsi="宋体" w:cs="宋体"/>
                <w:kern w:val="0"/>
                <w:szCs w:val="21"/>
                <w:lang w:val="en-US" w:eastAsia="zh-CN"/>
              </w:rPr>
              <w:t>0</w:t>
            </w:r>
          </w:p>
        </w:tc>
        <w:tc>
          <w:tcPr>
            <w:tcW w:w="1743" w:type="dxa"/>
            <w:tcBorders>
              <w:top w:val="nil"/>
              <w:left w:val="nil"/>
              <w:bottom w:val="single" w:color="auto" w:sz="4" w:space="0"/>
              <w:right w:val="single" w:color="auto" w:sz="4" w:space="0"/>
            </w:tcBorders>
            <w:noWrap/>
            <w:vAlign w:val="bottom"/>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center"/>
              <w:textAlignment w:val="auto"/>
              <w:rPr>
                <w:rFonts w:hint="default" w:ascii="宋体" w:hAnsi="宋体" w:eastAsia="宋体" w:cs="宋体"/>
                <w:kern w:val="0"/>
                <w:szCs w:val="21"/>
                <w:lang w:val="en-US" w:eastAsia="zh-CN"/>
              </w:rPr>
            </w:pPr>
            <w:r>
              <w:rPr>
                <w:rFonts w:hint="eastAsia" w:ascii="宋体" w:hAnsi="宋体" w:cs="宋体"/>
                <w:kern w:val="0"/>
                <w:szCs w:val="21"/>
                <w:lang w:val="en-US" w:eastAsia="zh-CN"/>
              </w:rPr>
              <w:t>45.27</w:t>
            </w:r>
          </w:p>
        </w:tc>
        <w:tc>
          <w:tcPr>
            <w:tcW w:w="1743"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hint="eastAsia" w:ascii="宋体" w:hAnsi="宋体" w:eastAsia="宋体" w:cs="宋体"/>
                <w:kern w:val="0"/>
                <w:szCs w:val="21"/>
                <w:lang w:val="en-US" w:eastAsia="zh-CN"/>
              </w:rPr>
            </w:pPr>
            <w:r>
              <w:rPr>
                <w:rFonts w:hint="eastAsia" w:ascii="宋体" w:hAnsi="宋体" w:cs="宋体"/>
                <w:kern w:val="0"/>
                <w:szCs w:val="21"/>
                <w:lang w:val="en-US" w:eastAsia="zh-CN"/>
              </w:rPr>
              <w:t>0</w:t>
            </w:r>
          </w:p>
        </w:tc>
      </w:tr>
      <w:tr>
        <w:tblPrEx>
          <w:tblCellMar>
            <w:top w:w="0" w:type="dxa"/>
            <w:left w:w="108" w:type="dxa"/>
            <w:bottom w:w="0" w:type="dxa"/>
            <w:right w:w="108" w:type="dxa"/>
          </w:tblCellMar>
        </w:tblPrEx>
        <w:trPr>
          <w:trHeight w:val="390" w:hRule="atLeast"/>
        </w:trPr>
        <w:tc>
          <w:tcPr>
            <w:tcW w:w="2274"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ascii="宋体" w:hAnsi="宋体" w:cs="宋体"/>
                <w:kern w:val="0"/>
                <w:szCs w:val="21"/>
              </w:rPr>
            </w:pPr>
          </w:p>
        </w:tc>
        <w:tc>
          <w:tcPr>
            <w:tcW w:w="898" w:type="dxa"/>
            <w:tcBorders>
              <w:top w:val="nil"/>
              <w:left w:val="nil"/>
              <w:bottom w:val="single" w:color="auto" w:sz="4" w:space="0"/>
              <w:right w:val="single" w:color="auto" w:sz="4" w:space="0"/>
            </w:tcBorders>
            <w:noWrap/>
            <w:vAlign w:val="bottom"/>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ascii="宋体" w:hAnsi="宋体" w:cs="宋体"/>
                <w:kern w:val="0"/>
                <w:szCs w:val="21"/>
              </w:rPr>
            </w:pPr>
            <w:r>
              <w:rPr>
                <w:rFonts w:hint="eastAsia" w:ascii="宋体" w:hAnsi="宋体" w:cs="宋体"/>
                <w:kern w:val="0"/>
                <w:szCs w:val="21"/>
              </w:rPr>
              <w:t>　</w:t>
            </w:r>
          </w:p>
        </w:tc>
        <w:tc>
          <w:tcPr>
            <w:tcW w:w="1743" w:type="dxa"/>
            <w:tcBorders>
              <w:top w:val="nil"/>
              <w:left w:val="nil"/>
              <w:bottom w:val="single" w:color="auto" w:sz="4" w:space="0"/>
              <w:right w:val="single" w:color="auto" w:sz="4" w:space="0"/>
            </w:tcBorders>
            <w:noWrap/>
            <w:vAlign w:val="bottom"/>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ascii="宋体" w:hAnsi="宋体" w:cs="宋体"/>
                <w:kern w:val="0"/>
                <w:szCs w:val="21"/>
              </w:rPr>
            </w:pPr>
            <w:r>
              <w:rPr>
                <w:rFonts w:hint="eastAsia" w:ascii="宋体" w:hAnsi="宋体" w:cs="宋体"/>
                <w:kern w:val="0"/>
                <w:szCs w:val="21"/>
              </w:rPr>
              <w:t>　</w:t>
            </w:r>
          </w:p>
        </w:tc>
        <w:tc>
          <w:tcPr>
            <w:tcW w:w="1743" w:type="dxa"/>
            <w:tcBorders>
              <w:top w:val="nil"/>
              <w:left w:val="nil"/>
              <w:bottom w:val="single" w:color="auto" w:sz="4" w:space="0"/>
              <w:right w:val="single" w:color="auto" w:sz="4" w:space="0"/>
            </w:tcBorders>
            <w:noWrap/>
            <w:vAlign w:val="bottom"/>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ascii="宋体" w:hAnsi="宋体" w:cs="宋体"/>
                <w:kern w:val="0"/>
                <w:szCs w:val="21"/>
              </w:rPr>
            </w:pPr>
            <w:r>
              <w:rPr>
                <w:rFonts w:hint="eastAsia" w:ascii="宋体" w:hAnsi="宋体" w:cs="宋体"/>
                <w:kern w:val="0"/>
                <w:szCs w:val="21"/>
              </w:rPr>
              <w:t>　</w:t>
            </w:r>
          </w:p>
        </w:tc>
        <w:tc>
          <w:tcPr>
            <w:tcW w:w="1743" w:type="dxa"/>
            <w:tcBorders>
              <w:top w:val="nil"/>
              <w:left w:val="nil"/>
              <w:bottom w:val="single" w:color="auto" w:sz="4" w:space="0"/>
              <w:right w:val="single" w:color="auto" w:sz="4" w:space="0"/>
            </w:tcBorders>
            <w:noWrap/>
            <w:vAlign w:val="bottom"/>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ascii="宋体" w:hAnsi="宋体" w:cs="宋体"/>
                <w:kern w:val="0"/>
                <w:szCs w:val="21"/>
              </w:rPr>
            </w:pPr>
            <w:r>
              <w:rPr>
                <w:rFonts w:hint="eastAsia" w:ascii="宋体" w:hAnsi="宋体" w:cs="宋体"/>
                <w:kern w:val="0"/>
                <w:szCs w:val="21"/>
              </w:rPr>
              <w:t>　</w:t>
            </w:r>
          </w:p>
        </w:tc>
      </w:tr>
      <w:tr>
        <w:tblPrEx>
          <w:tblCellMar>
            <w:top w:w="0" w:type="dxa"/>
            <w:left w:w="108" w:type="dxa"/>
            <w:bottom w:w="0" w:type="dxa"/>
            <w:right w:w="108" w:type="dxa"/>
          </w:tblCellMar>
        </w:tblPrEx>
        <w:trPr>
          <w:trHeight w:val="285" w:hRule="atLeast"/>
        </w:trPr>
        <w:tc>
          <w:tcPr>
            <w:tcW w:w="8401" w:type="dxa"/>
            <w:gridSpan w:val="5"/>
            <w:tcBorders>
              <w:top w:val="single" w:color="auto" w:sz="4" w:space="0"/>
              <w:left w:val="single" w:color="auto" w:sz="4" w:space="0"/>
              <w:bottom w:val="single" w:color="auto" w:sz="4" w:space="0"/>
              <w:right w:val="single" w:color="auto" w:sz="4" w:space="0"/>
            </w:tcBorders>
            <w:noWrap/>
            <w:vAlign w:val="bottom"/>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hint="eastAsia" w:ascii="宋体" w:hAnsi="宋体" w:eastAsia="宋体" w:cs="宋体"/>
                <w:kern w:val="0"/>
                <w:sz w:val="24"/>
                <w:lang w:eastAsia="zh-CN"/>
              </w:rPr>
            </w:pPr>
            <w:r>
              <w:rPr>
                <w:rFonts w:hint="eastAsia" w:ascii="宋体" w:hAnsi="宋体" w:cs="宋体"/>
                <w:kern w:val="0"/>
                <w:sz w:val="24"/>
              </w:rPr>
              <w:t>差异原因主要是：</w:t>
            </w:r>
            <w:r>
              <w:rPr>
                <w:rFonts w:hint="eastAsia" w:ascii="宋体" w:hAnsi="宋体" w:cs="宋体"/>
                <w:kern w:val="0"/>
                <w:sz w:val="24"/>
                <w:lang w:eastAsia="zh-CN"/>
              </w:rPr>
              <w:t>节约开支，公用经费减少。</w:t>
            </w:r>
          </w:p>
        </w:tc>
      </w:tr>
    </w:tbl>
    <w:p>
      <w:pPr>
        <w:keepNext w:val="0"/>
        <w:keepLines w:val="0"/>
        <w:pageBreakBefore w:val="0"/>
        <w:widowControl w:val="0"/>
        <w:kinsoku/>
        <w:wordWrap/>
        <w:overflowPunct/>
        <w:topLinePunct w:val="0"/>
        <w:autoSpaceDE/>
        <w:autoSpaceDN/>
        <w:bidi w:val="0"/>
        <w:adjustRightInd/>
        <w:snapToGrid/>
        <w:spacing w:line="620" w:lineRule="exact"/>
        <w:ind w:left="0" w:firstLine="643" w:firstLineChars="200"/>
        <w:textAlignment w:val="auto"/>
        <w:rPr>
          <w:rFonts w:hint="eastAsia" w:ascii="仿宋" w:hAnsi="仿宋" w:eastAsia="仿宋"/>
          <w:sz w:val="32"/>
          <w:szCs w:val="32"/>
        </w:rPr>
      </w:pPr>
      <w:r>
        <w:rPr>
          <w:rFonts w:hint="eastAsia" w:ascii="楷体" w:hAnsi="楷体" w:eastAsia="楷体"/>
          <w:b/>
          <w:sz w:val="32"/>
          <w:szCs w:val="32"/>
        </w:rPr>
        <w:t>（一）基本支出</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一是201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年基本支出</w:t>
      </w:r>
      <w:r>
        <w:rPr>
          <w:rFonts w:hint="eastAsia" w:ascii="仿宋_GB2312" w:hAnsi="仿宋_GB2312" w:eastAsia="仿宋_GB2312" w:cs="仿宋_GB2312"/>
          <w:sz w:val="32"/>
          <w:szCs w:val="32"/>
          <w:lang w:val="en-US" w:eastAsia="zh-CN"/>
        </w:rPr>
        <w:t>515.37</w:t>
      </w:r>
      <w:r>
        <w:rPr>
          <w:rFonts w:hint="eastAsia" w:ascii="仿宋_GB2312" w:hAnsi="仿宋_GB2312" w:eastAsia="仿宋_GB2312" w:cs="仿宋_GB2312"/>
          <w:sz w:val="32"/>
          <w:szCs w:val="32"/>
        </w:rPr>
        <w:t>万元。其中：工资福利支出</w:t>
      </w:r>
      <w:r>
        <w:rPr>
          <w:rFonts w:hint="eastAsia" w:ascii="仿宋_GB2312" w:hAnsi="仿宋_GB2312" w:eastAsia="仿宋_GB2312" w:cs="仿宋_GB2312"/>
          <w:sz w:val="32"/>
          <w:szCs w:val="32"/>
          <w:lang w:val="en-US" w:eastAsia="zh-CN"/>
        </w:rPr>
        <w:t>314.5</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一般商品和服务支出</w:t>
      </w:r>
      <w:r>
        <w:rPr>
          <w:rFonts w:hint="eastAsia" w:ascii="仿宋_GB2312" w:hAnsi="仿宋_GB2312" w:eastAsia="仿宋_GB2312" w:cs="仿宋_GB2312"/>
          <w:sz w:val="32"/>
          <w:szCs w:val="32"/>
          <w:lang w:val="en-US" w:eastAsia="zh-CN"/>
        </w:rPr>
        <w:t>191.65</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对个人和家庭的补助支出</w:t>
      </w:r>
      <w:r>
        <w:rPr>
          <w:rFonts w:hint="eastAsia" w:ascii="仿宋_GB2312" w:hAnsi="仿宋_GB2312" w:eastAsia="仿宋_GB2312" w:cs="仿宋_GB2312"/>
          <w:sz w:val="32"/>
          <w:szCs w:val="32"/>
          <w:lang w:val="en-US" w:eastAsia="zh-CN"/>
        </w:rPr>
        <w:t>3.20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、资本性支出6.02万元</w:t>
      </w:r>
      <w:r>
        <w:rPr>
          <w:rFonts w:hint="eastAsia" w:ascii="仿宋_GB2312" w:hAnsi="仿宋_GB2312" w:eastAsia="仿宋_GB2312" w:cs="仿宋_GB2312"/>
          <w:sz w:val="32"/>
          <w:szCs w:val="32"/>
        </w:rPr>
        <w:t>，主要</w:t>
      </w:r>
      <w:r>
        <w:rPr>
          <w:rFonts w:hint="eastAsia" w:ascii="仿宋_GB2312" w:hAnsi="仿宋_GB2312" w:eastAsia="仿宋_GB2312" w:cs="仿宋_GB2312"/>
          <w:sz w:val="32"/>
          <w:szCs w:val="32"/>
          <w:lang w:eastAsia="zh-CN"/>
        </w:rPr>
        <w:t>用于审计工作过程中发生的办公费、差旅费</w:t>
      </w:r>
      <w:r>
        <w:rPr>
          <w:rFonts w:hint="eastAsia" w:ascii="仿宋_GB2312" w:hAnsi="仿宋_GB2312" w:eastAsia="仿宋_GB2312" w:cs="仿宋_GB2312"/>
          <w:sz w:val="32"/>
          <w:szCs w:val="32"/>
        </w:rPr>
        <w:t>等。二是严格控制“三公经费”管理，公务接待费用</w:t>
      </w:r>
      <w:r>
        <w:rPr>
          <w:rFonts w:hint="eastAsia" w:ascii="仿宋_GB2312" w:hAnsi="仿宋_GB2312" w:eastAsia="仿宋_GB2312" w:cs="仿宋_GB2312"/>
          <w:sz w:val="32"/>
          <w:szCs w:val="32"/>
          <w:lang w:val="en-US" w:eastAsia="zh-CN"/>
        </w:rPr>
        <w:t>12.11</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，无</w:t>
      </w:r>
      <w:r>
        <w:rPr>
          <w:rFonts w:hint="eastAsia" w:ascii="仿宋_GB2312" w:hAnsi="仿宋_GB2312" w:eastAsia="仿宋_GB2312" w:cs="仿宋_GB2312"/>
          <w:sz w:val="32"/>
          <w:szCs w:val="32"/>
        </w:rPr>
        <w:t>公务用车运行维护费用</w:t>
      </w:r>
      <w:r>
        <w:rPr>
          <w:rFonts w:hint="eastAsia" w:ascii="仿宋_GB2312" w:hAnsi="仿宋_GB2312" w:eastAsia="仿宋_GB2312" w:cs="仿宋_GB2312"/>
          <w:sz w:val="32"/>
          <w:szCs w:val="32"/>
          <w:lang w:eastAsia="zh-CN"/>
        </w:rPr>
        <w:t>和</w:t>
      </w:r>
      <w:r>
        <w:rPr>
          <w:rFonts w:hint="eastAsia" w:ascii="仿宋_GB2312" w:hAnsi="仿宋_GB2312" w:eastAsia="仿宋_GB2312" w:cs="仿宋_GB2312"/>
          <w:sz w:val="32"/>
          <w:szCs w:val="32"/>
        </w:rPr>
        <w:t>因公出国境费用支出</w:t>
      </w:r>
      <w:r>
        <w:rPr>
          <w:rFonts w:hint="eastAsia" w:ascii="仿宋_GB2312" w:hAnsi="仿宋_GB2312" w:eastAsia="仿宋_GB2312" w:cs="仿宋_GB2312"/>
          <w:sz w:val="32"/>
          <w:szCs w:val="32"/>
          <w:lang w:eastAsia="zh-CN"/>
        </w:rPr>
        <w:t>；“三公经费”变动率小于</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620" w:lineRule="exact"/>
        <w:ind w:left="0" w:firstLine="643" w:firstLineChars="200"/>
        <w:textAlignment w:val="auto"/>
        <w:rPr>
          <w:rFonts w:ascii="楷体" w:hAnsi="楷体" w:eastAsia="楷体"/>
          <w:b/>
          <w:sz w:val="32"/>
          <w:szCs w:val="32"/>
        </w:rPr>
      </w:pPr>
      <w:r>
        <w:rPr>
          <w:rFonts w:hint="eastAsia" w:ascii="楷体" w:hAnsi="楷体" w:eastAsia="楷体"/>
          <w:b/>
          <w:sz w:val="32"/>
          <w:szCs w:val="32"/>
        </w:rPr>
        <w:t>（二）项目支出</w:t>
      </w:r>
    </w:p>
    <w:p>
      <w:pPr>
        <w:keepNext w:val="0"/>
        <w:keepLines w:val="0"/>
        <w:pageBreakBefore w:val="0"/>
        <w:widowControl w:val="0"/>
        <w:kinsoku/>
        <w:wordWrap/>
        <w:overflowPunct/>
        <w:topLinePunct w:val="0"/>
        <w:autoSpaceDE/>
        <w:autoSpaceDN/>
        <w:bidi w:val="0"/>
        <w:adjustRightInd/>
        <w:snapToGrid/>
        <w:spacing w:line="62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2018年项目支出365.94万元，为对企业扶持资金</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620" w:lineRule="exact"/>
        <w:ind w:left="0" w:firstLine="640" w:firstLineChars="200"/>
        <w:textAlignment w:val="auto"/>
        <w:rPr>
          <w:rFonts w:hint="eastAsia" w:ascii="黑体" w:hAnsi="黑体" w:eastAsia="黑体"/>
          <w:sz w:val="32"/>
          <w:szCs w:val="32"/>
        </w:rPr>
      </w:pPr>
      <w:r>
        <w:rPr>
          <w:rFonts w:hint="eastAsia" w:ascii="黑体" w:hAnsi="黑体" w:eastAsia="黑体"/>
          <w:sz w:val="32"/>
          <w:szCs w:val="32"/>
        </w:rPr>
        <w:t>三、部门整体支出绩效情况</w:t>
      </w:r>
    </w:p>
    <w:p>
      <w:pPr>
        <w:keepNext w:val="0"/>
        <w:keepLines w:val="0"/>
        <w:pageBreakBefore w:val="0"/>
        <w:widowControl w:val="0"/>
        <w:kinsoku/>
        <w:wordWrap/>
        <w:overflowPunct/>
        <w:topLinePunct w:val="0"/>
        <w:autoSpaceDE/>
        <w:autoSpaceDN/>
        <w:bidi w:val="0"/>
        <w:adjustRightInd/>
        <w:snapToGrid/>
        <w:spacing w:line="620" w:lineRule="exact"/>
        <w:ind w:left="0" w:firstLine="643" w:firstLineChars="200"/>
        <w:textAlignment w:val="auto"/>
        <w:rPr>
          <w:rFonts w:ascii="楷体" w:hAnsi="楷体" w:eastAsia="楷体"/>
          <w:b/>
          <w:sz w:val="32"/>
          <w:szCs w:val="32"/>
        </w:rPr>
      </w:pPr>
      <w:r>
        <w:rPr>
          <w:rFonts w:hint="eastAsia" w:ascii="楷体" w:hAnsi="楷体" w:eastAsia="楷体"/>
          <w:b/>
          <w:sz w:val="32"/>
          <w:szCs w:val="32"/>
        </w:rPr>
        <w:t>(一)评价得分及等级标准。</w:t>
      </w:r>
    </w:p>
    <w:p>
      <w:pPr>
        <w:keepNext w:val="0"/>
        <w:keepLines w:val="0"/>
        <w:pageBreakBefore w:val="0"/>
        <w:widowControl w:val="0"/>
        <w:kinsoku/>
        <w:wordWrap/>
        <w:overflowPunct/>
        <w:topLinePunct w:val="0"/>
        <w:autoSpaceDE/>
        <w:autoSpaceDN/>
        <w:bidi w:val="0"/>
        <w:adjustRightInd/>
        <w:snapToGrid/>
        <w:spacing w:line="620" w:lineRule="exact"/>
        <w:ind w:left="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根据部门整体支出绩效评价指标体系对县审计局</w:t>
      </w:r>
      <w:r>
        <w:rPr>
          <w:rFonts w:hint="eastAsia" w:ascii="仿宋_GB2312" w:hAnsi="仿宋_GB2312" w:eastAsia="仿宋_GB2312" w:cs="仿宋_GB2312"/>
          <w:sz w:val="32"/>
          <w:szCs w:val="32"/>
          <w:lang w:val="en-US" w:eastAsia="zh-CN"/>
        </w:rPr>
        <w:t>2018年整体支出情况进行自评，评分为</w:t>
      </w:r>
      <w:r>
        <w:rPr>
          <w:rFonts w:hint="eastAsia" w:ascii="仿宋_GB2312" w:hAnsi="仿宋_GB2312" w:eastAsia="仿宋_GB2312" w:cs="仿宋_GB2312"/>
          <w:sz w:val="32"/>
          <w:szCs w:val="32"/>
          <w:highlight w:val="none"/>
          <w:lang w:val="en-US" w:eastAsia="zh-CN"/>
        </w:rPr>
        <w:t>88.5</w:t>
      </w:r>
      <w:r>
        <w:rPr>
          <w:rFonts w:hint="eastAsia" w:ascii="仿宋_GB2312" w:hAnsi="仿宋_GB2312" w:eastAsia="仿宋_GB2312" w:cs="仿宋_GB2312"/>
          <w:sz w:val="32"/>
          <w:szCs w:val="32"/>
          <w:lang w:val="en-US" w:eastAsia="zh-CN"/>
        </w:rPr>
        <w:t>分。</w:t>
      </w:r>
    </w:p>
    <w:p>
      <w:pPr>
        <w:keepNext w:val="0"/>
        <w:keepLines w:val="0"/>
        <w:pageBreakBefore w:val="0"/>
        <w:widowControl w:val="0"/>
        <w:kinsoku/>
        <w:wordWrap/>
        <w:overflowPunct/>
        <w:topLinePunct w:val="0"/>
        <w:autoSpaceDE/>
        <w:autoSpaceDN/>
        <w:bidi w:val="0"/>
        <w:adjustRightInd/>
        <w:snapToGrid/>
        <w:spacing w:line="620" w:lineRule="exact"/>
        <w:ind w:left="0" w:firstLine="643" w:firstLineChars="200"/>
        <w:textAlignment w:val="auto"/>
        <w:rPr>
          <w:rFonts w:hint="eastAsia" w:ascii="仿宋" w:hAnsi="仿宋" w:eastAsia="仿宋"/>
          <w:sz w:val="32"/>
          <w:szCs w:val="32"/>
          <w:lang w:val="en-US" w:eastAsia="zh-CN"/>
        </w:rPr>
      </w:pPr>
      <w:r>
        <w:rPr>
          <w:rFonts w:hint="eastAsia" w:ascii="楷体" w:hAnsi="楷体" w:eastAsia="楷体"/>
          <w:b/>
          <w:sz w:val="32"/>
          <w:szCs w:val="32"/>
        </w:rPr>
        <w:t>(二)部门履职及履职效益情况。</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预算执行方面，支出总额控制在预算总额以内。同时深入贯彻落实中央有关“厉行节约”的精神，严控行政成本，制订完善财务管理制度，加强了三公经费管理，三公经费预算总额与上年持平。在预算执行方面，全年支出总额控制在预算总额以内，制度执行总体较为有效。</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仿宋" w:hAnsi="仿宋" w:eastAsia="仿宋"/>
          <w:sz w:val="32"/>
          <w:szCs w:val="32"/>
          <w:lang w:val="en-US" w:eastAsia="zh-CN"/>
        </w:rPr>
      </w:pPr>
      <w:r>
        <w:rPr>
          <w:rFonts w:hint="eastAsia" w:ascii="仿宋_GB2312" w:hAnsi="仿宋_GB2312" w:eastAsia="仿宋_GB2312" w:cs="仿宋_GB2312"/>
          <w:sz w:val="32"/>
          <w:szCs w:val="32"/>
          <w:lang w:val="en-US" w:eastAsia="zh-CN"/>
        </w:rPr>
        <w:t>2018年度，县审计局在上级审计机关和县委、县政府的正确领导下，圆满完成了各项任务。一是按时完成了同级审与部门预算执行审计；二是受县委组织部的委托，积极开展领导干部经济责任审计；三是加大对政府投资和以政府投资为主的建设项目预算执行情况和决算审计。</w:t>
      </w:r>
    </w:p>
    <w:p>
      <w:pPr>
        <w:keepNext w:val="0"/>
        <w:keepLines w:val="0"/>
        <w:pageBreakBefore w:val="0"/>
        <w:widowControl w:val="0"/>
        <w:kinsoku/>
        <w:wordWrap/>
        <w:overflowPunct/>
        <w:topLinePunct w:val="0"/>
        <w:autoSpaceDE/>
        <w:autoSpaceDN/>
        <w:bidi w:val="0"/>
        <w:adjustRightInd/>
        <w:snapToGrid/>
        <w:spacing w:line="620" w:lineRule="exact"/>
        <w:ind w:left="0" w:firstLine="640" w:firstLineChars="200"/>
        <w:textAlignment w:val="auto"/>
        <w:rPr>
          <w:rFonts w:ascii="黑体" w:hAnsi="黑体" w:eastAsia="黑体"/>
          <w:sz w:val="32"/>
          <w:szCs w:val="32"/>
        </w:rPr>
      </w:pPr>
      <w:r>
        <w:rPr>
          <w:rFonts w:hint="eastAsia" w:ascii="黑体" w:hAnsi="黑体" w:eastAsia="黑体"/>
          <w:sz w:val="32"/>
          <w:szCs w:val="32"/>
        </w:rPr>
        <w:t>四、存在的主要问题</w:t>
      </w:r>
    </w:p>
    <w:p>
      <w:pPr>
        <w:keepNext w:val="0"/>
        <w:keepLines w:val="0"/>
        <w:pageBreakBefore w:val="0"/>
        <w:widowControl w:val="0"/>
        <w:kinsoku/>
        <w:wordWrap/>
        <w:overflowPunct/>
        <w:topLinePunct w:val="0"/>
        <w:autoSpaceDE/>
        <w:autoSpaceDN/>
        <w:bidi w:val="0"/>
        <w:adjustRightInd/>
        <w:snapToGrid/>
        <w:spacing w:line="620" w:lineRule="exact"/>
        <w:ind w:left="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（一）预算编制的准确性有待进一步提高。</w:t>
      </w:r>
    </w:p>
    <w:p>
      <w:pPr>
        <w:keepNext w:val="0"/>
        <w:keepLines w:val="0"/>
        <w:pageBreakBefore w:val="0"/>
        <w:widowControl w:val="0"/>
        <w:kinsoku/>
        <w:wordWrap/>
        <w:overflowPunct/>
        <w:topLinePunct w:val="0"/>
        <w:autoSpaceDE/>
        <w:autoSpaceDN/>
        <w:bidi w:val="0"/>
        <w:adjustRightInd/>
        <w:snapToGrid/>
        <w:spacing w:line="62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（二）绩效目标设置不够具体，预算编制绩效导向性有待加强</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620" w:lineRule="exact"/>
        <w:ind w:left="0" w:firstLine="640" w:firstLineChars="200"/>
        <w:textAlignment w:val="auto"/>
        <w:rPr>
          <w:rFonts w:hint="eastAsia" w:ascii="黑体" w:hAnsi="黑体" w:eastAsia="黑体"/>
          <w:sz w:val="32"/>
          <w:szCs w:val="32"/>
        </w:rPr>
      </w:pPr>
      <w:r>
        <w:rPr>
          <w:rFonts w:hint="eastAsia" w:ascii="黑体" w:hAnsi="黑体" w:eastAsia="黑体"/>
          <w:sz w:val="32"/>
          <w:szCs w:val="32"/>
        </w:rPr>
        <w:t>五、改进措施和有关建议</w:t>
      </w:r>
    </w:p>
    <w:p>
      <w:pPr>
        <w:keepNext w:val="0"/>
        <w:keepLines w:val="0"/>
        <w:pageBreakBefore w:val="0"/>
        <w:widowControl w:val="0"/>
        <w:kinsoku/>
        <w:wordWrap/>
        <w:overflowPunct/>
        <w:topLinePunct w:val="0"/>
        <w:autoSpaceDE/>
        <w:autoSpaceDN/>
        <w:bidi w:val="0"/>
        <w:adjustRightInd/>
        <w:snapToGrid/>
        <w:spacing w:line="620" w:lineRule="exact"/>
        <w:ind w:left="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科学编制预算。加强预算意识，严格按照预算编制的相关制度和要求以及下一年度的工作计划，细化编制部门预算，提高预算编制的科学性、合理性、</w:t>
      </w:r>
      <w:r>
        <w:rPr>
          <w:rFonts w:hint="eastAsia" w:ascii="仿宋_GB2312" w:hAnsi="仿宋_GB2312" w:eastAsia="仿宋_GB2312" w:cs="仿宋_GB2312"/>
          <w:sz w:val="32"/>
          <w:szCs w:val="32"/>
          <w:lang w:eastAsia="zh-CN"/>
        </w:rPr>
        <w:t>准确性和可控性</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强化预算的刚性约束，凡事做到“先预算后开支”，并注重对财政资金的问效。</w:t>
      </w:r>
    </w:p>
    <w:p>
      <w:pPr>
        <w:keepNext w:val="0"/>
        <w:keepLines w:val="0"/>
        <w:pageBreakBefore w:val="0"/>
        <w:widowControl w:val="0"/>
        <w:kinsoku/>
        <w:wordWrap/>
        <w:overflowPunct/>
        <w:topLinePunct w:val="0"/>
        <w:autoSpaceDE/>
        <w:autoSpaceDN/>
        <w:bidi w:val="0"/>
        <w:adjustRightInd/>
        <w:snapToGrid/>
        <w:spacing w:line="620" w:lineRule="exact"/>
        <w:ind w:left="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（二）规范绩效目标编制，科学选定绩效指标，尽量多使用定量指标，细化确定指标标准，增强支出责任。</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01ACDE6"/>
    <w:multiLevelType w:val="singleLevel"/>
    <w:tmpl w:val="101ACDE6"/>
    <w:lvl w:ilvl="0" w:tentative="0">
      <w:start w:val="2"/>
      <w:numFmt w:val="decimal"/>
      <w:lvlText w:val="%1."/>
      <w:lvlJc w:val="left"/>
      <w:pPr>
        <w:tabs>
          <w:tab w:val="left" w:pos="312"/>
        </w:tabs>
        <w:ind w:left="600" w:leftChars="0" w:firstLine="0" w:firstLineChars="0"/>
      </w:pPr>
    </w:lvl>
  </w:abstractNum>
  <w:abstractNum w:abstractNumId="1">
    <w:nsid w:val="2F520C1E"/>
    <w:multiLevelType w:val="singleLevel"/>
    <w:tmpl w:val="2F520C1E"/>
    <w:lvl w:ilvl="0" w:tentative="0">
      <w:start w:val="1"/>
      <w:numFmt w:val="chineseCounting"/>
      <w:suff w:val="nothing"/>
      <w:lvlText w:val="%1、"/>
      <w:lvlJc w:val="left"/>
      <w:pPr>
        <w:ind w:left="160" w:leftChars="0" w:firstLine="0" w:firstLineChars="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6333685"/>
    <w:rsid w:val="02CF4615"/>
    <w:rsid w:val="030C2A1B"/>
    <w:rsid w:val="06FC3E56"/>
    <w:rsid w:val="090D517B"/>
    <w:rsid w:val="0B1D7856"/>
    <w:rsid w:val="0D4C594C"/>
    <w:rsid w:val="11AC48F2"/>
    <w:rsid w:val="11C024AC"/>
    <w:rsid w:val="13AD3BA6"/>
    <w:rsid w:val="18556A47"/>
    <w:rsid w:val="19155C06"/>
    <w:rsid w:val="1A352C88"/>
    <w:rsid w:val="1C3F59FB"/>
    <w:rsid w:val="2318791C"/>
    <w:rsid w:val="23E2279A"/>
    <w:rsid w:val="261B7E30"/>
    <w:rsid w:val="27685E10"/>
    <w:rsid w:val="2A0C4757"/>
    <w:rsid w:val="2BF54C44"/>
    <w:rsid w:val="2CCF313E"/>
    <w:rsid w:val="325066D0"/>
    <w:rsid w:val="39CA68B0"/>
    <w:rsid w:val="3B68695A"/>
    <w:rsid w:val="43E572A2"/>
    <w:rsid w:val="46333685"/>
    <w:rsid w:val="4A896738"/>
    <w:rsid w:val="4BC81F1C"/>
    <w:rsid w:val="4D0D1E8A"/>
    <w:rsid w:val="4F1218D6"/>
    <w:rsid w:val="53E87B71"/>
    <w:rsid w:val="58482E06"/>
    <w:rsid w:val="5D5B5003"/>
    <w:rsid w:val="5EA9233F"/>
    <w:rsid w:val="61D468A1"/>
    <w:rsid w:val="621E0933"/>
    <w:rsid w:val="64606F5E"/>
    <w:rsid w:val="6904380B"/>
    <w:rsid w:val="694717FC"/>
    <w:rsid w:val="6A3F2157"/>
    <w:rsid w:val="72DC5BD4"/>
    <w:rsid w:val="75543715"/>
    <w:rsid w:val="76D76EAB"/>
    <w:rsid w:val="77355CCF"/>
    <w:rsid w:val="792046E3"/>
    <w:rsid w:val="792E2100"/>
    <w:rsid w:val="79D0732E"/>
    <w:rsid w:val="7A0033EE"/>
    <w:rsid w:val="7CA94D79"/>
    <w:rsid w:val="7F9A46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2020-08-26T14:31:00Z</dcterms:created>
  <dc:creator>Administrator</dc:creator>
  <cp:lastModifiedBy>木梓于桑</cp:lastModifiedBy>
  <dcterms:modified xsi:type="dcterms:W3CDTF">2021-05-16T08:18:37Z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279B9DEEAC0F4B90B77ABFFEB78FB055</vt:lpwstr>
  </property>
</Properties>
</file>