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ind w:firstLine="0" w:firstLineChars="0"/>
        <w:jc w:val="left"/>
        <w:rPr>
          <w:rFonts w:hint="eastAsia" w:ascii="仿宋_GB2312" w:hAnsi="黑体" w:eastAsia="仿宋_GB2312" w:cs="Times New Roman"/>
          <w:sz w:val="32"/>
          <w:szCs w:val="32"/>
          <w:lang w:eastAsia="zh-CN"/>
        </w:rPr>
      </w:pPr>
      <w:r>
        <w:rPr>
          <w:rFonts w:hint="eastAsia" w:ascii="仿宋_GB2312" w:hAnsi="黑体" w:cs="Times New Roman"/>
          <w:sz w:val="32"/>
          <w:szCs w:val="32"/>
        </w:rPr>
        <w:t>附件</w:t>
      </w:r>
      <w:r>
        <w:rPr>
          <w:rFonts w:hint="eastAsia" w:ascii="仿宋_GB2312" w:hAnsi="黑体" w:cs="Times New Roman"/>
          <w:sz w:val="32"/>
          <w:szCs w:val="32"/>
          <w:lang w:val="en-US" w:eastAsia="zh-CN"/>
        </w:rPr>
        <w:t>2</w:t>
      </w:r>
    </w:p>
    <w:p>
      <w:pPr>
        <w:widowControl w:val="0"/>
        <w:ind w:firstLine="0" w:firstLineChars="0"/>
        <w:jc w:val="center"/>
        <w:rPr>
          <w:rFonts w:hint="eastAsia" w:ascii="黑体" w:hAnsi="黑体" w:eastAsia="黑体" w:cs="Times New Roman"/>
          <w:spacing w:val="-20"/>
          <w:sz w:val="44"/>
          <w:szCs w:val="44"/>
        </w:rPr>
      </w:pPr>
      <w:r>
        <w:rPr>
          <w:rFonts w:hint="eastAsia" w:ascii="黑体" w:hAnsi="黑体" w:eastAsia="黑体" w:cs="Times New Roman"/>
          <w:spacing w:val="-20"/>
          <w:sz w:val="44"/>
          <w:szCs w:val="44"/>
          <w:lang w:eastAsia="zh-CN"/>
        </w:rPr>
        <w:t>大余</w:t>
      </w:r>
      <w:r>
        <w:rPr>
          <w:rFonts w:hint="eastAsia" w:ascii="黑体" w:hAnsi="黑体" w:eastAsia="黑体" w:cs="Times New Roman"/>
          <w:spacing w:val="-20"/>
          <w:sz w:val="44"/>
          <w:szCs w:val="44"/>
        </w:rPr>
        <w:t>县</w:t>
      </w:r>
      <w:r>
        <w:rPr>
          <w:rFonts w:ascii="黑体" w:hAnsi="黑体" w:eastAsia="黑体" w:cs="Times New Roman"/>
          <w:spacing w:val="-20"/>
          <w:sz w:val="44"/>
          <w:szCs w:val="44"/>
        </w:rPr>
        <w:t>2018</w:t>
      </w:r>
      <w:r>
        <w:rPr>
          <w:rFonts w:hint="eastAsia" w:ascii="黑体" w:hAnsi="黑体" w:eastAsia="黑体" w:cs="Times New Roman"/>
          <w:spacing w:val="-20"/>
          <w:sz w:val="44"/>
          <w:szCs w:val="44"/>
        </w:rPr>
        <w:t>年度中央财政水利发展资金绩效</w:t>
      </w:r>
    </w:p>
    <w:p>
      <w:pPr>
        <w:widowControl w:val="0"/>
        <w:ind w:firstLine="0" w:firstLineChars="0"/>
        <w:jc w:val="center"/>
        <w:rPr>
          <w:rFonts w:ascii="黑体" w:hAnsi="黑体" w:eastAsia="黑体" w:cs="Times New Roman"/>
          <w:spacing w:val="-20"/>
          <w:sz w:val="44"/>
          <w:szCs w:val="44"/>
        </w:rPr>
      </w:pPr>
      <w:r>
        <w:rPr>
          <w:rFonts w:hint="eastAsia" w:ascii="黑体" w:hAnsi="黑体" w:eastAsia="黑体" w:cs="Times New Roman"/>
          <w:spacing w:val="-20"/>
          <w:sz w:val="44"/>
          <w:szCs w:val="44"/>
        </w:rPr>
        <w:t>自评报告</w:t>
      </w:r>
    </w:p>
    <w:p>
      <w:pPr>
        <w:pageBreakBefore w:val="0"/>
        <w:widowControl w:val="0"/>
        <w:kinsoku/>
        <w:wordWrap/>
        <w:overflowPunct/>
        <w:topLinePunct w:val="0"/>
        <w:autoSpaceDE/>
        <w:autoSpaceDN/>
        <w:bidi w:val="0"/>
        <w:adjustRightInd/>
        <w:snapToGrid/>
        <w:spacing w:line="560" w:lineRule="exact"/>
        <w:ind w:firstLine="640"/>
        <w:jc w:val="center"/>
        <w:textAlignment w:val="auto"/>
        <w:rPr>
          <w:rFonts w:cs="Times New Roman"/>
          <w:sz w:val="32"/>
          <w:szCs w:val="32"/>
        </w:rPr>
      </w:pP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ascii="黑体" w:hAnsi="黑体" w:eastAsia="黑体" w:cs="Times New Roman"/>
          <w:b w:val="0"/>
          <w:bCs w:val="0"/>
          <w:sz w:val="32"/>
        </w:rPr>
      </w:pPr>
      <w:r>
        <w:rPr>
          <w:rFonts w:hint="eastAsia" w:ascii="黑体" w:hAnsi="黑体" w:eastAsia="黑体" w:cs="Times New Roman"/>
          <w:b w:val="0"/>
          <w:bCs w:val="0"/>
          <w:sz w:val="32"/>
        </w:rPr>
        <w:t>一、概述</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hint="eastAsia" w:ascii="楷体" w:hAnsi="楷体" w:eastAsia="楷体" w:cs="Times New Roman"/>
          <w:bCs w:val="0"/>
          <w:sz w:val="32"/>
        </w:rPr>
      </w:pPr>
      <w:r>
        <w:rPr>
          <w:rFonts w:hint="eastAsia" w:ascii="楷体" w:hAnsi="楷体" w:eastAsia="楷体" w:cs="Times New Roman"/>
          <w:bCs w:val="0"/>
          <w:sz w:val="32"/>
        </w:rPr>
        <w:t>（一）水利发展资金预算</w:t>
      </w:r>
      <w:r>
        <w:rPr>
          <w:rFonts w:ascii="楷体" w:hAnsi="楷体" w:eastAsia="楷体" w:cs="Times New Roman"/>
          <w:bCs w:val="0"/>
          <w:sz w:val="32"/>
        </w:rPr>
        <w:t>和</w:t>
      </w:r>
      <w:r>
        <w:rPr>
          <w:rFonts w:hint="eastAsia" w:ascii="楷体" w:hAnsi="楷体" w:eastAsia="楷体" w:cs="Times New Roman"/>
          <w:bCs w:val="0"/>
          <w:sz w:val="32"/>
        </w:rPr>
        <w:t>绩效目标情况</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大余县2018年度中央水利发展资金项目共落实资金567.29万元，其中：中央水利发展资金452万元，省级资金33.71万元，县级资金81.58万元。按项目可分为：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1、水土保持工程建设项目：国家水土保持重点工程本年度落实资金350万元，其中中央水利发展资金350万元（赣财农指［2017］82</w:t>
      </w:r>
      <w:r>
        <w:rPr>
          <w:rFonts w:hint="eastAsia" w:ascii="仿宋" w:hAnsi="仿宋" w:eastAsia="仿宋" w:cs="仿宋"/>
          <w:color w:val="auto"/>
          <w:sz w:val="30"/>
          <w:szCs w:val="30"/>
          <w:lang w:val="en-US" w:eastAsia="zh-CN"/>
        </w:rPr>
        <w:t>号），项目绩效目</w:t>
      </w:r>
      <w:r>
        <w:rPr>
          <w:rFonts w:hint="eastAsia" w:ascii="仿宋" w:hAnsi="仿宋" w:eastAsia="仿宋" w:cs="仿宋"/>
          <w:sz w:val="30"/>
          <w:szCs w:val="30"/>
          <w:lang w:val="en-US" w:eastAsia="zh-CN"/>
        </w:rPr>
        <w:t>标为完成治理水土流失面积10平方公里。该项目在2018年底完成本年度项目资金计划，完成投资350万元，实际完成水土流失治理面积10平方公里，实现绩效目标值。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2、山洪灾害防治项目：落实中央水利发展资金10万元（赣水规计字【2017】37号），该项目于2018年底全部完成，完成投资10万元，完成县级山洪灾害防治群策群防建设任务：开展县级山洪灾害培训1次、演练1次，圆满实现预定的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3、国有公益性水利工程维修养护项目：共到位资金162.29万元，其中落实中央水利发展资金47万元（赣财农指［2017］82号），落实省级财政水利专项资金33.71万元（赣水规计字［2018］13号），落实县级财政配套资金75.94万元；项目绩效目标为1座大型水库、2座中型水库、2座小（1）型维修养护。其中：油罗口水库维修养护费用73.5万元，垅涧里水库维修养护费用30.06万元，跃进水库维修养护费用40.41万元，石门口水库维修养护费用9.3万元，合江水库维修养护费用9.02万元；上述项目在2018年底已全部完工，完成投资162.29万元，实现了预定的绩效目标5座水库维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4、农业水价综合改革:落实中央水利发展资金10万元</w:t>
      </w:r>
      <w:r>
        <w:rPr>
          <w:rFonts w:hint="eastAsia" w:ascii="仿宋" w:hAnsi="仿宋" w:eastAsia="仿宋" w:cs="仿宋"/>
          <w:color w:val="auto"/>
          <w:sz w:val="30"/>
          <w:szCs w:val="30"/>
          <w:highlight w:val="none"/>
          <w:lang w:val="en-US" w:eastAsia="zh-CN"/>
        </w:rPr>
        <w:t>（赣水规计字［2018］34号），项目绩效目标为开展农业水价综</w:t>
      </w:r>
      <w:r>
        <w:rPr>
          <w:rFonts w:hint="eastAsia" w:ascii="仿宋" w:hAnsi="仿宋" w:eastAsia="仿宋" w:cs="仿宋"/>
          <w:color w:val="auto"/>
          <w:sz w:val="30"/>
          <w:szCs w:val="30"/>
          <w:lang w:val="en-US" w:eastAsia="zh-CN"/>
        </w:rPr>
        <w:t>合改革面积0.2万亩，</w:t>
      </w:r>
      <w:r>
        <w:rPr>
          <w:rFonts w:hint="eastAsia" w:ascii="仿宋" w:hAnsi="仿宋" w:eastAsia="仿宋" w:cs="仿宋"/>
          <w:sz w:val="30"/>
          <w:szCs w:val="30"/>
          <w:lang w:val="en-US" w:eastAsia="zh-CN"/>
        </w:rPr>
        <w:t>该项目在2018年底全面完成，完成投资10万元，</w:t>
      </w:r>
      <w:r>
        <w:rPr>
          <w:rFonts w:hint="eastAsia" w:ascii="仿宋" w:hAnsi="仿宋" w:eastAsia="仿宋" w:cs="仿宋"/>
          <w:color w:val="auto"/>
          <w:sz w:val="30"/>
          <w:szCs w:val="30"/>
          <w:lang w:val="en-US" w:eastAsia="zh-CN"/>
        </w:rPr>
        <w:t>实现了农业水价综合改革面积0.2万亩的绩效目标。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highlight w:val="none"/>
          <w:lang w:val="en-US" w:eastAsia="zh-CN"/>
        </w:rPr>
        <w:t>5、河长制建设：落实中央水利发展资金35万元（赣水规计字［2017］37号），2018年底完成投资35万元，全面完成河长制综合信息管理平台建设。</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（二）实施项目情况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我县2018年安排中央水利发展资金452万元，实际到位452万元，资金到位率为100%；省级资金</w:t>
      </w:r>
      <w:r>
        <w:rPr>
          <w:rFonts w:hint="eastAsia" w:ascii="仿宋" w:hAnsi="仿宋" w:eastAsia="仿宋" w:cs="仿宋"/>
          <w:sz w:val="30"/>
          <w:szCs w:val="30"/>
          <w:highlight w:val="none"/>
          <w:lang w:val="en-US" w:eastAsia="zh-CN"/>
        </w:rPr>
        <w:t>33.71</w:t>
      </w:r>
      <w:r>
        <w:rPr>
          <w:rFonts w:hint="eastAsia" w:ascii="仿宋" w:hAnsi="仿宋" w:eastAsia="仿宋" w:cs="仿宋"/>
          <w:color w:val="auto"/>
          <w:sz w:val="30"/>
          <w:szCs w:val="30"/>
          <w:highlight w:val="none"/>
          <w:lang w:val="en-US" w:eastAsia="zh-CN"/>
        </w:rPr>
        <w:t>万元，实际到位33.71万元，资金到位率为100%；县级资金81.58万元，实际到位81.58万元，资金到位率为100%。2018年共计安排中央、省级、县级资金567.29万元，实际到位567.29万元。主要支出方向有：水土保持工程建设350万元、山洪灾害防治10万元、国有公益性水利工程维修养护项目162.29万元、河长制建设35万元、农业水价综合改革10万元。</w:t>
      </w: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ascii="黑体" w:hAnsi="黑体" w:eastAsia="黑体" w:cs="Times New Roman"/>
          <w:b w:val="0"/>
          <w:bCs w:val="0"/>
          <w:color w:val="auto"/>
          <w:sz w:val="32"/>
        </w:rPr>
      </w:pPr>
      <w:r>
        <w:rPr>
          <w:rFonts w:hint="eastAsia" w:ascii="黑体" w:hAnsi="黑体" w:eastAsia="黑体" w:cs="Times New Roman"/>
          <w:b w:val="0"/>
          <w:bCs w:val="0"/>
          <w:color w:val="auto"/>
          <w:sz w:val="32"/>
        </w:rPr>
        <w:t>二、绩效自评工作开展情况</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hint="eastAsia" w:ascii="楷体" w:hAnsi="楷体" w:eastAsia="楷体" w:cs="Times New Roman"/>
          <w:bCs w:val="0"/>
          <w:color w:val="auto"/>
          <w:sz w:val="32"/>
        </w:rPr>
      </w:pPr>
      <w:r>
        <w:rPr>
          <w:rFonts w:hint="eastAsia" w:ascii="楷体" w:hAnsi="楷体" w:eastAsia="楷体" w:cs="Times New Roman"/>
          <w:bCs w:val="0"/>
          <w:color w:val="auto"/>
          <w:sz w:val="32"/>
        </w:rPr>
        <w:t>（一）自评依据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lang w:val="en-US" w:eastAsia="zh-CN"/>
        </w:rPr>
        <w:t>我县绩效自评依据有：《财政部办公厅  水利部办公厅关于开展2018年度中央财政水利发展资金绩效评价工作的通知》（财办农[2019]43号）；财政部、水利部制定的资金使用及绩效管理办法：财农[2016]181号；江西省财政厅、水利厅制定的资金使用管理实施细则、管理办法及资金预算绩效管理实施细则（暂行）：</w:t>
      </w:r>
      <w:r>
        <w:rPr>
          <w:rFonts w:hint="eastAsia" w:ascii="仿宋" w:hAnsi="仿宋" w:eastAsia="仿宋" w:cs="仿宋"/>
          <w:color w:val="auto"/>
          <w:sz w:val="30"/>
          <w:szCs w:val="30"/>
          <w:highlight w:val="none"/>
          <w:lang w:val="en-US" w:eastAsia="zh-CN"/>
        </w:rPr>
        <w:t>赣财农指【2017】82号、赣财农指【2018】38号、赣水规计字【2018】34号、赣水规计字【2017】37号。</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（二）自评方式</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eastAsia="仿宋_GB2312"/>
          <w:color w:val="FF0000"/>
          <w:lang w:val="en-US" w:eastAsia="zh-CN"/>
        </w:rPr>
      </w:pPr>
      <w:r>
        <w:rPr>
          <w:rFonts w:hint="eastAsia" w:ascii="仿宋" w:hAnsi="仿宋" w:eastAsia="仿宋" w:cs="仿宋"/>
          <w:color w:val="auto"/>
          <w:sz w:val="30"/>
          <w:szCs w:val="30"/>
          <w:lang w:val="en-US" w:eastAsia="zh-CN"/>
        </w:rPr>
        <w:t>为切实做好我县2018年度中央水利发展资金绩效自评工作，我县制定了切实有效的绩效管理办法。并于6月7日召集县水利局、财政局相关科室人员，召开2018年度中央水利发展资金及省级财政专项资金绩效评价布置会，会议要求严格按照省厅财政厅、水利厅赣财农［2019］20号文件精神进行项目资金绩效评价，明确县水利局、财政局分别安排1名固定人员具体负责绩效目标管理工作，水利局相关科室人员负责提供项目绩效作证材料，财政局负责审核；采取实事求是、责任到人的方法开展自评，确保资料填报及时、准确。</w:t>
      </w: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ascii="黑体" w:hAnsi="黑体" w:eastAsia="黑体" w:cs="Times New Roman"/>
          <w:b w:val="0"/>
          <w:bCs w:val="0"/>
          <w:color w:val="auto"/>
          <w:sz w:val="32"/>
        </w:rPr>
      </w:pPr>
      <w:r>
        <w:rPr>
          <w:rFonts w:ascii="黑体" w:hAnsi="黑体" w:eastAsia="黑体" w:cs="Times New Roman"/>
          <w:b w:val="0"/>
          <w:bCs w:val="0"/>
          <w:color w:val="auto"/>
          <w:sz w:val="32"/>
        </w:rPr>
        <w:t>三</w:t>
      </w:r>
      <w:r>
        <w:rPr>
          <w:rFonts w:hint="eastAsia" w:ascii="黑体" w:hAnsi="黑体" w:eastAsia="黑体" w:cs="Times New Roman"/>
          <w:b w:val="0"/>
          <w:bCs w:val="0"/>
          <w:color w:val="auto"/>
          <w:sz w:val="32"/>
        </w:rPr>
        <w:t>、</w:t>
      </w:r>
      <w:r>
        <w:rPr>
          <w:rFonts w:ascii="黑体" w:hAnsi="黑体" w:eastAsia="黑体" w:cs="Times New Roman"/>
          <w:b w:val="0"/>
          <w:bCs w:val="0"/>
          <w:color w:val="auto"/>
          <w:sz w:val="32"/>
        </w:rPr>
        <w:t>绩效自评分析</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（一）项目资金情况分析</w:t>
      </w:r>
    </w:p>
    <w:p>
      <w:pPr>
        <w:pageBreakBefore w:val="0"/>
        <w:widowControl w:val="0"/>
        <w:kinsoku/>
        <w:wordWrap/>
        <w:overflowPunct/>
        <w:topLinePunct w:val="0"/>
        <w:autoSpaceDE/>
        <w:autoSpaceDN/>
        <w:bidi w:val="0"/>
        <w:adjustRightInd/>
        <w:snapToGrid/>
        <w:spacing w:line="560" w:lineRule="exact"/>
        <w:ind w:firstLine="640"/>
        <w:textAlignment w:val="auto"/>
        <w:rPr>
          <w:rFonts w:cs="Times New Roman"/>
          <w:color w:val="auto"/>
          <w:sz w:val="32"/>
        </w:rPr>
      </w:pPr>
      <w:r>
        <w:rPr>
          <w:rFonts w:cs="Times New Roman"/>
          <w:color w:val="auto"/>
          <w:sz w:val="32"/>
        </w:rPr>
        <w:t>1</w:t>
      </w:r>
      <w:r>
        <w:rPr>
          <w:rFonts w:hint="eastAsia" w:cs="Times New Roman"/>
          <w:color w:val="auto"/>
          <w:sz w:val="32"/>
        </w:rPr>
        <w:t>.资金到位情况</w:t>
      </w:r>
    </w:p>
    <w:p>
      <w:pPr>
        <w:pageBreakBefore w:val="0"/>
        <w:widowControl w:val="0"/>
        <w:kinsoku/>
        <w:wordWrap/>
        <w:overflowPunct/>
        <w:topLinePunct w:val="0"/>
        <w:autoSpaceDE/>
        <w:autoSpaceDN/>
        <w:bidi w:val="0"/>
        <w:adjustRightInd/>
        <w:snapToGrid/>
        <w:spacing w:line="560" w:lineRule="exact"/>
        <w:ind w:firstLine="640"/>
        <w:textAlignment w:val="auto"/>
        <w:rPr>
          <w:rFonts w:cs="Times New Roman"/>
          <w:color w:val="FF0000"/>
          <w:sz w:val="32"/>
        </w:rPr>
      </w:pPr>
      <w:r>
        <w:rPr>
          <w:rFonts w:hint="eastAsia" w:ascii="仿宋" w:hAnsi="仿宋" w:eastAsia="仿宋" w:cs="仿宋"/>
          <w:color w:val="auto"/>
          <w:sz w:val="30"/>
          <w:szCs w:val="30"/>
          <w:lang w:val="en-US" w:eastAsia="zh-CN"/>
        </w:rPr>
        <w:t>我县2018年安排中央水利发展资金452万元，实际到位452万元，资金到位率为100%；配套省级资金33.71万元，实际到位33.71万元，资金到位率为100%，县级资金81.58万元，实际到位81.58万元，资金到位率为100%。2018年共计安排中央、省级、县级资金567.29万元，实际到位567.29万元。</w:t>
      </w:r>
    </w:p>
    <w:p>
      <w:pPr>
        <w:widowControl w:val="0"/>
        <w:ind w:firstLine="0" w:firstLineChars="0"/>
        <w:jc w:val="center"/>
        <w:rPr>
          <w:rFonts w:cs="Times New Roman"/>
          <w:color w:val="auto"/>
        </w:rPr>
      </w:pPr>
      <w:r>
        <w:rPr>
          <w:rFonts w:hint="eastAsia" w:cs="Times New Roman"/>
          <w:color w:val="auto"/>
        </w:rPr>
        <w:t>表</w:t>
      </w:r>
      <w:r>
        <w:rPr>
          <w:rFonts w:cs="Times New Roman"/>
          <w:color w:val="auto"/>
        </w:rPr>
        <w:t>3-1     2018</w:t>
      </w:r>
      <w:r>
        <w:rPr>
          <w:rFonts w:hint="eastAsia" w:cs="Times New Roman"/>
          <w:color w:val="auto"/>
        </w:rPr>
        <w:t>年度水利发展资金到位情况表（不含整合资金）</w:t>
      </w:r>
    </w:p>
    <w:tbl>
      <w:tblPr>
        <w:tblStyle w:val="7"/>
        <w:tblW w:w="8876" w:type="dxa"/>
        <w:jc w:val="center"/>
        <w:tblInd w:w="0" w:type="dxa"/>
        <w:tblLayout w:type="fixed"/>
        <w:tblCellMar>
          <w:top w:w="0" w:type="dxa"/>
          <w:left w:w="108" w:type="dxa"/>
          <w:bottom w:w="0" w:type="dxa"/>
          <w:right w:w="108" w:type="dxa"/>
        </w:tblCellMar>
      </w:tblPr>
      <w:tblGrid>
        <w:gridCol w:w="1148"/>
        <w:gridCol w:w="784"/>
        <w:gridCol w:w="856"/>
        <w:gridCol w:w="735"/>
        <w:gridCol w:w="727"/>
        <w:gridCol w:w="803"/>
        <w:gridCol w:w="870"/>
        <w:gridCol w:w="750"/>
        <w:gridCol w:w="750"/>
        <w:gridCol w:w="750"/>
        <w:gridCol w:w="703"/>
      </w:tblGrid>
      <w:tr>
        <w:tblPrEx>
          <w:tblLayout w:type="fixed"/>
          <w:tblCellMar>
            <w:top w:w="0" w:type="dxa"/>
            <w:left w:w="108" w:type="dxa"/>
            <w:bottom w:w="0" w:type="dxa"/>
            <w:right w:w="108" w:type="dxa"/>
          </w:tblCellMar>
        </w:tblPrEx>
        <w:trPr>
          <w:trHeight w:val="300" w:hRule="atLeast"/>
          <w:jc w:val="center"/>
        </w:trPr>
        <w:tc>
          <w:tcPr>
            <w:tcW w:w="1148" w:type="dxa"/>
            <w:vMerge w:val="restart"/>
            <w:tcBorders>
              <w:top w:val="single" w:color="auto" w:sz="8" w:space="0"/>
              <w:left w:val="single" w:color="auto" w:sz="8" w:space="0"/>
              <w:bottom w:val="single" w:color="000000" w:sz="8" w:space="0"/>
              <w:right w:val="single" w:color="auto" w:sz="8" w:space="0"/>
            </w:tcBorders>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一级分类</w:t>
            </w:r>
          </w:p>
        </w:tc>
        <w:tc>
          <w:tcPr>
            <w:tcW w:w="784" w:type="dxa"/>
            <w:vMerge w:val="restart"/>
            <w:tcBorders>
              <w:top w:val="single" w:color="auto" w:sz="8" w:space="0"/>
              <w:left w:val="single" w:color="auto" w:sz="8" w:space="0"/>
              <w:bottom w:val="single" w:color="000000" w:sz="8" w:space="0"/>
              <w:right w:val="single" w:color="auto" w:sz="8" w:space="0"/>
            </w:tcBorders>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批复</w:t>
            </w:r>
          </w:p>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预算数</w:t>
            </w:r>
          </w:p>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（万元）</w:t>
            </w:r>
          </w:p>
        </w:tc>
        <w:tc>
          <w:tcPr>
            <w:tcW w:w="2318" w:type="dxa"/>
            <w:gridSpan w:val="3"/>
            <w:tcBorders>
              <w:top w:val="single" w:color="auto" w:sz="8" w:space="0"/>
              <w:left w:val="nil"/>
              <w:bottom w:val="single" w:color="auto" w:sz="8" w:space="0"/>
              <w:right w:val="single" w:color="000000"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预算数（万元）</w:t>
            </w:r>
          </w:p>
        </w:tc>
        <w:tc>
          <w:tcPr>
            <w:tcW w:w="2423" w:type="dxa"/>
            <w:gridSpan w:val="3"/>
            <w:tcBorders>
              <w:top w:val="single" w:color="auto" w:sz="8" w:space="0"/>
              <w:left w:val="nil"/>
              <w:bottom w:val="single" w:color="auto" w:sz="8" w:space="0"/>
              <w:right w:val="single" w:color="000000"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财政资金（万元）</w:t>
            </w:r>
          </w:p>
        </w:tc>
        <w:tc>
          <w:tcPr>
            <w:tcW w:w="2203" w:type="dxa"/>
            <w:gridSpan w:val="3"/>
            <w:tcBorders>
              <w:top w:val="single" w:color="auto" w:sz="8" w:space="0"/>
              <w:left w:val="nil"/>
              <w:bottom w:val="single" w:color="auto" w:sz="8" w:space="0"/>
              <w:right w:val="single" w:color="000000"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财政资金到位率（</w:t>
            </w:r>
            <w:r>
              <w:rPr>
                <w:rFonts w:cs="Times New Roman"/>
                <w:color w:val="auto"/>
                <w:kern w:val="0"/>
                <w:sz w:val="20"/>
                <w:szCs w:val="20"/>
                <w:highlight w:val="none"/>
              </w:rPr>
              <w:t>%</w:t>
            </w:r>
            <w:r>
              <w:rPr>
                <w:rFonts w:hint="eastAsia" w:ascii="仿宋_GB2312" w:hAnsi="等线" w:cs="宋体"/>
                <w:color w:val="auto"/>
                <w:kern w:val="0"/>
                <w:sz w:val="20"/>
                <w:szCs w:val="20"/>
                <w:highlight w:val="none"/>
              </w:rPr>
              <w:t>）</w:t>
            </w:r>
          </w:p>
        </w:tc>
      </w:tr>
      <w:tr>
        <w:tblPrEx>
          <w:tblLayout w:type="fixed"/>
          <w:tblCellMar>
            <w:top w:w="0" w:type="dxa"/>
            <w:left w:w="108" w:type="dxa"/>
            <w:bottom w:w="0" w:type="dxa"/>
            <w:right w:w="108" w:type="dxa"/>
          </w:tblCellMar>
        </w:tblPrEx>
        <w:trPr>
          <w:trHeight w:val="495" w:hRule="atLeast"/>
          <w:jc w:val="center"/>
        </w:trPr>
        <w:tc>
          <w:tcPr>
            <w:tcW w:w="1148" w:type="dxa"/>
            <w:vMerge w:val="continue"/>
            <w:tcBorders>
              <w:top w:val="single" w:color="auto" w:sz="8" w:space="0"/>
              <w:left w:val="single" w:color="auto" w:sz="8" w:space="0"/>
              <w:bottom w:val="single" w:color="000000" w:sz="8" w:space="0"/>
              <w:right w:val="single" w:color="auto" w:sz="8" w:space="0"/>
            </w:tcBorders>
            <w:vAlign w:val="center"/>
          </w:tcPr>
          <w:p>
            <w:pPr>
              <w:spacing w:line="240" w:lineRule="exact"/>
              <w:ind w:firstLine="0" w:firstLineChars="0"/>
              <w:jc w:val="center"/>
              <w:rPr>
                <w:rFonts w:ascii="仿宋_GB2312" w:hAnsi="等线" w:cs="宋体"/>
                <w:color w:val="auto"/>
                <w:kern w:val="0"/>
                <w:sz w:val="20"/>
                <w:szCs w:val="20"/>
                <w:highlight w:val="none"/>
              </w:rPr>
            </w:pPr>
          </w:p>
        </w:tc>
        <w:tc>
          <w:tcPr>
            <w:tcW w:w="784" w:type="dxa"/>
            <w:vMerge w:val="continue"/>
            <w:tcBorders>
              <w:top w:val="single" w:color="auto" w:sz="8" w:space="0"/>
              <w:left w:val="single" w:color="auto" w:sz="8" w:space="0"/>
              <w:bottom w:val="single" w:color="000000" w:sz="8" w:space="0"/>
              <w:right w:val="single" w:color="auto" w:sz="8" w:space="0"/>
            </w:tcBorders>
            <w:vAlign w:val="center"/>
          </w:tcPr>
          <w:p>
            <w:pPr>
              <w:spacing w:line="240" w:lineRule="exact"/>
              <w:ind w:firstLine="0" w:firstLineChars="0"/>
              <w:jc w:val="center"/>
              <w:rPr>
                <w:rFonts w:ascii="仿宋_GB2312" w:hAnsi="等线" w:cs="宋体"/>
                <w:color w:val="auto"/>
                <w:kern w:val="0"/>
                <w:sz w:val="20"/>
                <w:szCs w:val="20"/>
                <w:highlight w:val="none"/>
              </w:rPr>
            </w:pPr>
          </w:p>
        </w:tc>
        <w:tc>
          <w:tcPr>
            <w:tcW w:w="856"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总投资</w:t>
            </w:r>
          </w:p>
        </w:tc>
        <w:tc>
          <w:tcPr>
            <w:tcW w:w="735"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其中：中央</w:t>
            </w:r>
          </w:p>
        </w:tc>
        <w:tc>
          <w:tcPr>
            <w:tcW w:w="727"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其中：省级</w:t>
            </w:r>
          </w:p>
        </w:tc>
        <w:tc>
          <w:tcPr>
            <w:tcW w:w="803"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小计</w:t>
            </w:r>
          </w:p>
        </w:tc>
        <w:tc>
          <w:tcPr>
            <w:tcW w:w="870"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both"/>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其中：中央</w:t>
            </w:r>
          </w:p>
        </w:tc>
        <w:tc>
          <w:tcPr>
            <w:tcW w:w="750"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其中：省级</w:t>
            </w:r>
          </w:p>
        </w:tc>
        <w:tc>
          <w:tcPr>
            <w:tcW w:w="750"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小计</w:t>
            </w:r>
          </w:p>
        </w:tc>
        <w:tc>
          <w:tcPr>
            <w:tcW w:w="750"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其中：中央</w:t>
            </w:r>
          </w:p>
        </w:tc>
        <w:tc>
          <w:tcPr>
            <w:tcW w:w="703"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ascii="仿宋_GB2312" w:hAnsi="等线" w:cs="宋体"/>
                <w:color w:val="auto"/>
                <w:kern w:val="0"/>
                <w:sz w:val="20"/>
                <w:szCs w:val="20"/>
                <w:highlight w:val="none"/>
              </w:rPr>
            </w:pPr>
            <w:r>
              <w:rPr>
                <w:rFonts w:hint="eastAsia" w:ascii="仿宋_GB2312" w:hAnsi="等线" w:cs="宋体"/>
                <w:color w:val="auto"/>
                <w:kern w:val="0"/>
                <w:sz w:val="20"/>
                <w:szCs w:val="20"/>
                <w:highlight w:val="none"/>
              </w:rPr>
              <w:t>其中：省级</w:t>
            </w:r>
          </w:p>
        </w:tc>
      </w:tr>
      <w:tr>
        <w:tblPrEx>
          <w:tblLayout w:type="fixed"/>
          <w:tblCellMar>
            <w:top w:w="0" w:type="dxa"/>
            <w:left w:w="108" w:type="dxa"/>
            <w:bottom w:w="0" w:type="dxa"/>
            <w:right w:w="108" w:type="dxa"/>
          </w:tblCellMar>
        </w:tblPrEx>
        <w:trPr>
          <w:trHeight w:val="495" w:hRule="atLeast"/>
          <w:jc w:val="center"/>
        </w:trPr>
        <w:tc>
          <w:tcPr>
            <w:tcW w:w="1148" w:type="dxa"/>
            <w:tcBorders>
              <w:top w:val="nil"/>
              <w:left w:val="single" w:color="auto" w:sz="8" w:space="0"/>
              <w:bottom w:val="single" w:color="auto" w:sz="8" w:space="0"/>
              <w:right w:val="single" w:color="auto" w:sz="8"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水土保持工程建设</w:t>
            </w:r>
          </w:p>
        </w:tc>
        <w:tc>
          <w:tcPr>
            <w:tcW w:w="784"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350</w:t>
            </w:r>
          </w:p>
        </w:tc>
        <w:tc>
          <w:tcPr>
            <w:tcW w:w="856"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350</w:t>
            </w:r>
          </w:p>
        </w:tc>
        <w:tc>
          <w:tcPr>
            <w:tcW w:w="735"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350</w:t>
            </w:r>
          </w:p>
        </w:tc>
        <w:tc>
          <w:tcPr>
            <w:tcW w:w="727"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p>
        </w:tc>
        <w:tc>
          <w:tcPr>
            <w:tcW w:w="803"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350</w:t>
            </w:r>
          </w:p>
        </w:tc>
        <w:tc>
          <w:tcPr>
            <w:tcW w:w="870"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350</w:t>
            </w:r>
          </w:p>
        </w:tc>
        <w:tc>
          <w:tcPr>
            <w:tcW w:w="750"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p>
        </w:tc>
        <w:tc>
          <w:tcPr>
            <w:tcW w:w="750"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100%</w:t>
            </w:r>
          </w:p>
        </w:tc>
        <w:tc>
          <w:tcPr>
            <w:tcW w:w="750"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eastAsia="等线" w:cs="Times New Roman"/>
                <w:color w:val="auto"/>
                <w:kern w:val="0"/>
                <w:sz w:val="20"/>
                <w:szCs w:val="20"/>
                <w:highlight w:val="none"/>
              </w:rPr>
            </w:pPr>
            <w:r>
              <w:rPr>
                <w:rFonts w:hint="eastAsia" w:eastAsia="等线" w:cs="Times New Roman"/>
                <w:color w:val="auto"/>
                <w:kern w:val="0"/>
                <w:sz w:val="20"/>
                <w:szCs w:val="20"/>
                <w:highlight w:val="none"/>
                <w:lang w:val="en-US" w:eastAsia="zh-CN"/>
              </w:rPr>
              <w:t>100%</w:t>
            </w:r>
          </w:p>
        </w:tc>
        <w:tc>
          <w:tcPr>
            <w:tcW w:w="703" w:type="dxa"/>
            <w:tcBorders>
              <w:top w:val="nil"/>
              <w:left w:val="nil"/>
              <w:bottom w:val="single" w:color="auto" w:sz="8"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p>
        </w:tc>
      </w:tr>
      <w:tr>
        <w:tblPrEx>
          <w:tblLayout w:type="fixed"/>
          <w:tblCellMar>
            <w:top w:w="0" w:type="dxa"/>
            <w:left w:w="108" w:type="dxa"/>
            <w:bottom w:w="0" w:type="dxa"/>
            <w:right w:w="108" w:type="dxa"/>
          </w:tblCellMar>
        </w:tblPrEx>
        <w:trPr>
          <w:trHeight w:val="495" w:hRule="atLeast"/>
          <w:jc w:val="center"/>
        </w:trPr>
        <w:tc>
          <w:tcPr>
            <w:tcW w:w="1148" w:type="dxa"/>
            <w:tcBorders>
              <w:top w:val="nil"/>
              <w:left w:val="single" w:color="auto" w:sz="8" w:space="0"/>
              <w:bottom w:val="single" w:color="auto" w:sz="4" w:space="0"/>
              <w:right w:val="single" w:color="auto" w:sz="8"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cs="Times New Roman"/>
                <w:color w:val="auto"/>
                <w:kern w:val="0"/>
                <w:sz w:val="20"/>
                <w:szCs w:val="20"/>
                <w:highlight w:val="none"/>
              </w:rPr>
              <w:t>山洪灾害防治</w:t>
            </w:r>
          </w:p>
        </w:tc>
        <w:tc>
          <w:tcPr>
            <w:tcW w:w="784"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856"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735"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727"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p>
        </w:tc>
        <w:tc>
          <w:tcPr>
            <w:tcW w:w="803"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870"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750"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p>
        </w:tc>
        <w:tc>
          <w:tcPr>
            <w:tcW w:w="750"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eastAsia="等线" w:cs="Times New Roman"/>
                <w:color w:val="auto"/>
                <w:kern w:val="0"/>
                <w:sz w:val="20"/>
                <w:szCs w:val="20"/>
                <w:highlight w:val="none"/>
              </w:rPr>
            </w:pPr>
            <w:r>
              <w:rPr>
                <w:rFonts w:hint="eastAsia" w:eastAsia="等线" w:cs="Times New Roman"/>
                <w:color w:val="auto"/>
                <w:kern w:val="0"/>
                <w:sz w:val="20"/>
                <w:szCs w:val="20"/>
                <w:highlight w:val="none"/>
                <w:lang w:val="en-US" w:eastAsia="zh-CN"/>
              </w:rPr>
              <w:t>100%</w:t>
            </w:r>
          </w:p>
        </w:tc>
        <w:tc>
          <w:tcPr>
            <w:tcW w:w="750"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100%</w:t>
            </w:r>
          </w:p>
        </w:tc>
        <w:tc>
          <w:tcPr>
            <w:tcW w:w="703" w:type="dxa"/>
            <w:tcBorders>
              <w:top w:val="nil"/>
              <w:left w:val="nil"/>
              <w:bottom w:val="single" w:color="auto" w:sz="4" w:space="0"/>
              <w:right w:val="single" w:color="auto" w:sz="8" w:space="0"/>
            </w:tcBorders>
            <w:shd w:val="clear" w:color="auto" w:fill="auto"/>
            <w:vAlign w:val="center"/>
          </w:tcPr>
          <w:p>
            <w:pPr>
              <w:spacing w:line="240" w:lineRule="exact"/>
              <w:ind w:firstLine="0" w:firstLineChars="0"/>
              <w:jc w:val="center"/>
              <w:rPr>
                <w:rFonts w:eastAsia="等线" w:cs="Times New Roman"/>
                <w:color w:val="auto"/>
                <w:kern w:val="0"/>
                <w:sz w:val="20"/>
                <w:szCs w:val="20"/>
                <w:highlight w:val="none"/>
              </w:rPr>
            </w:pPr>
          </w:p>
        </w:tc>
      </w:tr>
      <w:tr>
        <w:tblPrEx>
          <w:tblLayout w:type="fixed"/>
          <w:tblCellMar>
            <w:top w:w="0" w:type="dxa"/>
            <w:left w:w="108" w:type="dxa"/>
            <w:bottom w:w="0" w:type="dxa"/>
            <w:right w:w="108" w:type="dxa"/>
          </w:tblCellMar>
        </w:tblPrEx>
        <w:trPr>
          <w:trHeight w:val="495" w:hRule="atLeast"/>
          <w:jc w:val="center"/>
        </w:trPr>
        <w:tc>
          <w:tcPr>
            <w:tcW w:w="1148" w:type="dxa"/>
            <w:tcBorders>
              <w:top w:val="single" w:color="auto" w:sz="4" w:space="0"/>
              <w:left w:val="single" w:color="auto" w:sz="8" w:space="0"/>
              <w:bottom w:val="single" w:color="auto" w:sz="4" w:space="0"/>
              <w:right w:val="single" w:color="auto" w:sz="8" w:space="0"/>
            </w:tcBorders>
            <w:shd w:val="clear" w:color="auto" w:fill="auto"/>
            <w:vAlign w:val="center"/>
          </w:tcPr>
          <w:p>
            <w:pPr>
              <w:widowControl w:val="0"/>
              <w:spacing w:line="260" w:lineRule="exact"/>
              <w:ind w:firstLine="0" w:firstLineChars="0"/>
              <w:jc w:val="center"/>
              <w:rPr>
                <w:rFonts w:hint="eastAsia" w:eastAsia="仿宋_GB2312" w:cs="Times New Roman"/>
                <w:color w:val="auto"/>
                <w:kern w:val="0"/>
                <w:sz w:val="20"/>
                <w:szCs w:val="20"/>
                <w:highlight w:val="none"/>
                <w:lang w:eastAsia="zh-CN"/>
              </w:rPr>
            </w:pPr>
            <w:r>
              <w:rPr>
                <w:rFonts w:hint="eastAsia" w:cs="Times New Roman"/>
                <w:color w:val="auto"/>
                <w:kern w:val="0"/>
                <w:sz w:val="18"/>
                <w:szCs w:val="18"/>
                <w:highlight w:val="none"/>
                <w:lang w:eastAsia="zh-CN"/>
              </w:rPr>
              <w:t>水利工程维修养护</w:t>
            </w:r>
          </w:p>
        </w:tc>
        <w:tc>
          <w:tcPr>
            <w:tcW w:w="784"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162.29</w:t>
            </w:r>
          </w:p>
        </w:tc>
        <w:tc>
          <w:tcPr>
            <w:tcW w:w="856"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162.29</w:t>
            </w:r>
          </w:p>
        </w:tc>
        <w:tc>
          <w:tcPr>
            <w:tcW w:w="735"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47</w:t>
            </w:r>
          </w:p>
        </w:tc>
        <w:tc>
          <w:tcPr>
            <w:tcW w:w="727"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33.71</w:t>
            </w:r>
          </w:p>
        </w:tc>
        <w:tc>
          <w:tcPr>
            <w:tcW w:w="803"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162.29</w:t>
            </w:r>
          </w:p>
        </w:tc>
        <w:tc>
          <w:tcPr>
            <w:tcW w:w="87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47</w:t>
            </w: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33.71</w:t>
            </w: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100%</w:t>
            </w: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100%</w:t>
            </w:r>
          </w:p>
        </w:tc>
        <w:tc>
          <w:tcPr>
            <w:tcW w:w="703"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yellow"/>
                <w:lang w:val="en-US" w:eastAsia="zh-CN"/>
              </w:rPr>
            </w:pPr>
          </w:p>
        </w:tc>
      </w:tr>
      <w:tr>
        <w:tblPrEx>
          <w:tblLayout w:type="fixed"/>
          <w:tblCellMar>
            <w:top w:w="0" w:type="dxa"/>
            <w:left w:w="108" w:type="dxa"/>
            <w:bottom w:w="0" w:type="dxa"/>
            <w:right w:w="108" w:type="dxa"/>
          </w:tblCellMar>
        </w:tblPrEx>
        <w:trPr>
          <w:trHeight w:val="495" w:hRule="atLeast"/>
          <w:jc w:val="center"/>
        </w:trPr>
        <w:tc>
          <w:tcPr>
            <w:tcW w:w="1148" w:type="dxa"/>
            <w:tcBorders>
              <w:top w:val="single" w:color="auto" w:sz="4" w:space="0"/>
              <w:left w:val="single" w:color="auto" w:sz="8" w:space="0"/>
              <w:bottom w:val="single" w:color="auto" w:sz="4" w:space="0"/>
              <w:right w:val="single" w:color="auto" w:sz="8" w:space="0"/>
            </w:tcBorders>
            <w:shd w:val="clear" w:color="auto" w:fill="auto"/>
            <w:vAlign w:val="center"/>
          </w:tcPr>
          <w:p>
            <w:pPr>
              <w:widowControl w:val="0"/>
              <w:spacing w:line="260" w:lineRule="exact"/>
              <w:ind w:firstLine="0" w:firstLineChars="0"/>
              <w:jc w:val="center"/>
              <w:rPr>
                <w:rFonts w:hint="eastAsia" w:eastAsia="仿宋_GB2312" w:cs="Times New Roman"/>
                <w:color w:val="auto"/>
                <w:kern w:val="0"/>
                <w:sz w:val="20"/>
                <w:szCs w:val="20"/>
                <w:highlight w:val="none"/>
                <w:lang w:eastAsia="zh-CN"/>
              </w:rPr>
            </w:pPr>
            <w:r>
              <w:rPr>
                <w:rFonts w:hint="eastAsia" w:cs="Times New Roman"/>
                <w:color w:val="auto"/>
                <w:kern w:val="0"/>
                <w:sz w:val="20"/>
                <w:szCs w:val="20"/>
                <w:highlight w:val="none"/>
                <w:lang w:eastAsia="zh-CN"/>
              </w:rPr>
              <w:t>农业水价综合改革</w:t>
            </w:r>
          </w:p>
        </w:tc>
        <w:tc>
          <w:tcPr>
            <w:tcW w:w="784"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856"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735"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727"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p>
        </w:tc>
        <w:tc>
          <w:tcPr>
            <w:tcW w:w="803"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87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w:t>
            </w: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100%</w:t>
            </w: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100%</w:t>
            </w:r>
          </w:p>
        </w:tc>
        <w:tc>
          <w:tcPr>
            <w:tcW w:w="703"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p>
        </w:tc>
      </w:tr>
      <w:tr>
        <w:tblPrEx>
          <w:tblLayout w:type="fixed"/>
          <w:tblCellMar>
            <w:top w:w="0" w:type="dxa"/>
            <w:left w:w="108" w:type="dxa"/>
            <w:bottom w:w="0" w:type="dxa"/>
            <w:right w:w="108" w:type="dxa"/>
          </w:tblCellMar>
        </w:tblPrEx>
        <w:trPr>
          <w:trHeight w:val="495" w:hRule="atLeast"/>
          <w:jc w:val="center"/>
        </w:trPr>
        <w:tc>
          <w:tcPr>
            <w:tcW w:w="1148" w:type="dxa"/>
            <w:tcBorders>
              <w:top w:val="single" w:color="auto" w:sz="4" w:space="0"/>
              <w:left w:val="single" w:color="auto" w:sz="8" w:space="0"/>
              <w:bottom w:val="single" w:color="auto" w:sz="4" w:space="0"/>
              <w:right w:val="single" w:color="auto" w:sz="8" w:space="0"/>
            </w:tcBorders>
            <w:shd w:val="clear" w:color="auto" w:fill="auto"/>
            <w:vAlign w:val="center"/>
          </w:tcPr>
          <w:p>
            <w:pPr>
              <w:widowControl w:val="0"/>
              <w:spacing w:line="260" w:lineRule="exact"/>
              <w:ind w:firstLine="0" w:firstLineChars="0"/>
              <w:jc w:val="center"/>
              <w:rPr>
                <w:rFonts w:hint="eastAsia" w:eastAsia="仿宋_GB2312" w:cs="Times New Roman"/>
                <w:color w:val="auto"/>
                <w:kern w:val="0"/>
                <w:sz w:val="20"/>
                <w:szCs w:val="20"/>
                <w:highlight w:val="none"/>
                <w:lang w:eastAsia="zh-CN"/>
              </w:rPr>
            </w:pPr>
            <w:r>
              <w:rPr>
                <w:rFonts w:hint="eastAsia" w:cs="Times New Roman"/>
                <w:color w:val="auto"/>
                <w:kern w:val="0"/>
                <w:sz w:val="20"/>
                <w:szCs w:val="20"/>
                <w:highlight w:val="none"/>
                <w:lang w:eastAsia="zh-CN"/>
              </w:rPr>
              <w:t>河长制建设</w:t>
            </w:r>
          </w:p>
        </w:tc>
        <w:tc>
          <w:tcPr>
            <w:tcW w:w="784"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w:t>
            </w:r>
          </w:p>
        </w:tc>
        <w:tc>
          <w:tcPr>
            <w:tcW w:w="856"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w:t>
            </w:r>
          </w:p>
        </w:tc>
        <w:tc>
          <w:tcPr>
            <w:tcW w:w="735"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w:t>
            </w:r>
          </w:p>
        </w:tc>
        <w:tc>
          <w:tcPr>
            <w:tcW w:w="727"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p>
        </w:tc>
        <w:tc>
          <w:tcPr>
            <w:tcW w:w="803"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w:t>
            </w:r>
          </w:p>
        </w:tc>
        <w:tc>
          <w:tcPr>
            <w:tcW w:w="87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default"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35</w:t>
            </w: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100%</w:t>
            </w:r>
          </w:p>
        </w:tc>
        <w:tc>
          <w:tcPr>
            <w:tcW w:w="750"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r>
              <w:rPr>
                <w:rFonts w:hint="eastAsia" w:eastAsia="等线" w:cs="Times New Roman"/>
                <w:color w:val="auto"/>
                <w:kern w:val="0"/>
                <w:sz w:val="20"/>
                <w:szCs w:val="20"/>
                <w:highlight w:val="none"/>
                <w:lang w:val="en-US" w:eastAsia="zh-CN"/>
              </w:rPr>
              <w:t>100%</w:t>
            </w:r>
          </w:p>
        </w:tc>
        <w:tc>
          <w:tcPr>
            <w:tcW w:w="703" w:type="dxa"/>
            <w:tcBorders>
              <w:top w:val="single" w:color="auto" w:sz="4" w:space="0"/>
              <w:left w:val="nil"/>
              <w:bottom w:val="single" w:color="auto" w:sz="4" w:space="0"/>
              <w:right w:val="single" w:color="auto" w:sz="8" w:space="0"/>
            </w:tcBorders>
            <w:shd w:val="clear" w:color="auto" w:fill="auto"/>
            <w:vAlign w:val="center"/>
          </w:tcPr>
          <w:p>
            <w:pPr>
              <w:spacing w:line="240" w:lineRule="exact"/>
              <w:ind w:firstLine="0" w:firstLineChars="0"/>
              <w:jc w:val="center"/>
              <w:rPr>
                <w:rFonts w:hint="eastAsia" w:eastAsia="等线" w:cs="Times New Roman"/>
                <w:color w:val="auto"/>
                <w:kern w:val="0"/>
                <w:sz w:val="20"/>
                <w:szCs w:val="20"/>
                <w:highlight w:val="no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2.资金执行情况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截至2018年12月底，年度中央水利发展资金452万元、省级补助资金33.71万元、县级补助资金81.58万元，已全部实施完成，截止2019年6月底全部完成，完成率100%。</w:t>
      </w:r>
    </w:p>
    <w:p>
      <w:pPr>
        <w:widowControl w:val="0"/>
        <w:ind w:firstLine="0" w:firstLineChars="0"/>
        <w:jc w:val="center"/>
        <w:rPr>
          <w:rFonts w:cs="Times New Roman"/>
          <w:color w:val="auto"/>
        </w:rPr>
      </w:pPr>
      <w:r>
        <w:rPr>
          <w:rFonts w:hint="eastAsia" w:cs="Times New Roman"/>
          <w:color w:val="auto"/>
        </w:rPr>
        <w:t>表</w:t>
      </w:r>
      <w:r>
        <w:rPr>
          <w:rFonts w:cs="Times New Roman"/>
          <w:color w:val="auto"/>
        </w:rPr>
        <w:t>3-2    2018</w:t>
      </w:r>
      <w:r>
        <w:rPr>
          <w:rFonts w:hint="eastAsia" w:cs="Times New Roman"/>
          <w:color w:val="auto"/>
        </w:rPr>
        <w:t>年度水利发展资金执行情况表（不含整合</w:t>
      </w:r>
      <w:r>
        <w:rPr>
          <w:rFonts w:cs="Times New Roman"/>
          <w:color w:val="auto"/>
        </w:rPr>
        <w:t>资金</w:t>
      </w:r>
      <w:r>
        <w:rPr>
          <w:rFonts w:hint="eastAsia" w:cs="Times New Roman"/>
          <w:color w:val="auto"/>
        </w:rPr>
        <w:t>）</w:t>
      </w:r>
    </w:p>
    <w:tbl>
      <w:tblPr>
        <w:tblStyle w:val="7"/>
        <w:tblW w:w="8408" w:type="dxa"/>
        <w:tblInd w:w="0" w:type="dxa"/>
        <w:tblLayout w:type="fixed"/>
        <w:tblCellMar>
          <w:top w:w="0" w:type="dxa"/>
          <w:left w:w="51" w:type="dxa"/>
          <w:bottom w:w="0" w:type="dxa"/>
          <w:right w:w="51" w:type="dxa"/>
        </w:tblCellMar>
      </w:tblPr>
      <w:tblGrid>
        <w:gridCol w:w="2481"/>
        <w:gridCol w:w="1339"/>
        <w:gridCol w:w="1147"/>
        <w:gridCol w:w="1149"/>
        <w:gridCol w:w="1147"/>
        <w:gridCol w:w="1145"/>
      </w:tblGrid>
      <w:tr>
        <w:tblPrEx>
          <w:tblLayout w:type="fixed"/>
          <w:tblCellMar>
            <w:top w:w="0" w:type="dxa"/>
            <w:left w:w="51" w:type="dxa"/>
            <w:bottom w:w="0" w:type="dxa"/>
            <w:right w:w="51" w:type="dxa"/>
          </w:tblCellMar>
        </w:tblPrEx>
        <w:trPr>
          <w:trHeight w:val="381" w:hRule="atLeast"/>
          <w:tblHeader/>
        </w:trPr>
        <w:tc>
          <w:tcPr>
            <w:tcW w:w="24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一级分类</w:t>
            </w:r>
          </w:p>
        </w:tc>
        <w:tc>
          <w:tcPr>
            <w:tcW w:w="13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投资</w:t>
            </w:r>
          </w:p>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（万元）</w:t>
            </w:r>
          </w:p>
        </w:tc>
        <w:tc>
          <w:tcPr>
            <w:tcW w:w="229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完成投资</w:t>
            </w:r>
          </w:p>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（万元）</w:t>
            </w:r>
          </w:p>
        </w:tc>
        <w:tc>
          <w:tcPr>
            <w:tcW w:w="229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投资完成率</w:t>
            </w:r>
          </w:p>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w:t>
            </w:r>
          </w:p>
        </w:tc>
      </w:tr>
      <w:tr>
        <w:tblPrEx>
          <w:tblLayout w:type="fixed"/>
          <w:tblCellMar>
            <w:top w:w="0" w:type="dxa"/>
            <w:left w:w="51" w:type="dxa"/>
            <w:bottom w:w="0" w:type="dxa"/>
            <w:right w:w="51" w:type="dxa"/>
          </w:tblCellMar>
        </w:tblPrEx>
        <w:trPr>
          <w:trHeight w:val="381" w:hRule="atLeast"/>
          <w:tblHeader/>
        </w:trPr>
        <w:tc>
          <w:tcPr>
            <w:tcW w:w="2481" w:type="dxa"/>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229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229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r>
      <w:tr>
        <w:tblPrEx>
          <w:tblLayout w:type="fixed"/>
          <w:tblCellMar>
            <w:top w:w="0" w:type="dxa"/>
            <w:left w:w="51" w:type="dxa"/>
            <w:bottom w:w="0" w:type="dxa"/>
            <w:right w:w="51" w:type="dxa"/>
          </w:tblCellMar>
        </w:tblPrEx>
        <w:trPr>
          <w:trHeight w:val="20" w:hRule="atLeast"/>
          <w:tblHeader/>
        </w:trPr>
        <w:tc>
          <w:tcPr>
            <w:tcW w:w="2481" w:type="dxa"/>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1147" w:type="dxa"/>
            <w:tcBorders>
              <w:top w:val="nil"/>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截至2018年12月底</w:t>
            </w:r>
          </w:p>
        </w:tc>
        <w:tc>
          <w:tcPr>
            <w:tcW w:w="1149" w:type="dxa"/>
            <w:tcBorders>
              <w:top w:val="nil"/>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截至2019年6月底</w:t>
            </w:r>
          </w:p>
        </w:tc>
        <w:tc>
          <w:tcPr>
            <w:tcW w:w="1147" w:type="dxa"/>
            <w:tcBorders>
              <w:top w:val="nil"/>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截至2018年12月底</w:t>
            </w:r>
          </w:p>
        </w:tc>
        <w:tc>
          <w:tcPr>
            <w:tcW w:w="1145" w:type="dxa"/>
            <w:tcBorders>
              <w:top w:val="nil"/>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截至2019年6月底</w:t>
            </w:r>
          </w:p>
        </w:tc>
      </w:tr>
      <w:tr>
        <w:tblPrEx>
          <w:tblLayout w:type="fixed"/>
          <w:tblCellMar>
            <w:top w:w="0" w:type="dxa"/>
            <w:left w:w="51" w:type="dxa"/>
            <w:bottom w:w="0" w:type="dxa"/>
            <w:right w:w="51" w:type="dxa"/>
          </w:tblCellMar>
        </w:tblPrEx>
        <w:trPr>
          <w:trHeight w:val="235"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highlight w:val="none"/>
              </w:rPr>
              <w:t>水土保持工程建设</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highlight w:val="none"/>
                <w:lang w:val="en-US" w:eastAsia="zh-CN"/>
              </w:rPr>
              <w:t>350</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lang w:val="en-US" w:eastAsia="zh-CN"/>
              </w:rPr>
              <w:t>280</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lang w:val="en-US" w:eastAsia="zh-CN"/>
              </w:rPr>
              <w:t>280</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default" w:ascii="仿宋_GB2312" w:eastAsia="仿宋_GB2312" w:cs="Times New Roman"/>
                <w:color w:val="auto"/>
                <w:kern w:val="0"/>
                <w:sz w:val="20"/>
                <w:szCs w:val="20"/>
                <w:lang w:val="en-US" w:eastAsia="zh-CN"/>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lang w:val="en-US" w:eastAsia="zh-CN"/>
              </w:rPr>
              <w:t>100%</w:t>
            </w:r>
          </w:p>
        </w:tc>
      </w:tr>
      <w:tr>
        <w:tblPrEx>
          <w:tblLayout w:type="fixed"/>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cs="Times New Roman"/>
                <w:color w:val="auto"/>
                <w:kern w:val="0"/>
                <w:sz w:val="20"/>
                <w:szCs w:val="20"/>
                <w:highlight w:val="none"/>
              </w:rPr>
              <w:t>山洪灾害防治</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highlight w:val="none"/>
                <w:lang w:val="en-US" w:eastAsia="zh-CN"/>
              </w:rPr>
              <w:t>10</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lang w:val="en-US" w:eastAsia="zh-CN"/>
              </w:rPr>
              <w:t>720</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lang w:val="en-US" w:eastAsia="zh-CN"/>
              </w:rPr>
              <w:t>720</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lang w:val="en-US" w:eastAsia="zh-CN"/>
              </w:rPr>
              <w:t>100%</w:t>
            </w:r>
          </w:p>
        </w:tc>
      </w:tr>
      <w:tr>
        <w:tblPrEx>
          <w:tblLayout w:type="fixed"/>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cs="Times New Roman"/>
                <w:color w:val="auto"/>
                <w:kern w:val="0"/>
                <w:sz w:val="18"/>
                <w:szCs w:val="18"/>
                <w:highlight w:val="none"/>
                <w:lang w:eastAsia="zh-CN"/>
              </w:rPr>
              <w:t>水利工程维修养护</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hint="default" w:ascii="仿宋_GB2312" w:cs="Times New Roman"/>
                <w:color w:val="auto"/>
                <w:kern w:val="0"/>
                <w:sz w:val="20"/>
                <w:szCs w:val="20"/>
                <w:highlight w:val="none"/>
                <w:lang w:val="en-US"/>
              </w:rPr>
            </w:pPr>
            <w:r>
              <w:rPr>
                <w:rFonts w:hint="eastAsia" w:eastAsia="等线" w:cs="Times New Roman"/>
                <w:color w:val="auto"/>
                <w:kern w:val="0"/>
                <w:sz w:val="20"/>
                <w:szCs w:val="20"/>
                <w:highlight w:val="none"/>
                <w:lang w:val="en-US" w:eastAsia="zh-CN"/>
              </w:rPr>
              <w:t>162.29</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hint="default" w:ascii="仿宋_GB2312" w:cs="Times New Roman"/>
                <w:color w:val="auto"/>
                <w:kern w:val="0"/>
                <w:sz w:val="20"/>
                <w:szCs w:val="20"/>
                <w:highlight w:val="none"/>
                <w:lang w:val="en-US"/>
              </w:rPr>
            </w:pPr>
            <w:r>
              <w:rPr>
                <w:rFonts w:hint="eastAsia" w:eastAsia="等线" w:cs="Times New Roman"/>
                <w:color w:val="auto"/>
                <w:kern w:val="0"/>
                <w:sz w:val="20"/>
                <w:szCs w:val="20"/>
                <w:highlight w:val="none"/>
                <w:lang w:val="en-US" w:eastAsia="zh-CN"/>
              </w:rPr>
              <w:t>162.29</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hint="default" w:ascii="仿宋_GB2312" w:cs="Times New Roman"/>
                <w:color w:val="auto"/>
                <w:kern w:val="0"/>
                <w:sz w:val="20"/>
                <w:szCs w:val="20"/>
                <w:highlight w:val="none"/>
                <w:lang w:val="en-US"/>
              </w:rPr>
            </w:pPr>
            <w:r>
              <w:rPr>
                <w:rFonts w:hint="eastAsia" w:eastAsia="等线" w:cs="Times New Roman"/>
                <w:color w:val="auto"/>
                <w:kern w:val="0"/>
                <w:sz w:val="20"/>
                <w:szCs w:val="20"/>
                <w:highlight w:val="none"/>
                <w:lang w:val="en-US" w:eastAsia="zh-CN"/>
              </w:rPr>
              <w:t>162.29</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ascii="仿宋_GB2312" w:cs="Times New Roman"/>
                <w:color w:val="auto"/>
                <w:kern w:val="0"/>
                <w:sz w:val="20"/>
                <w:szCs w:val="20"/>
                <w:highlight w:val="none"/>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ascii="仿宋_GB2312" w:cs="Times New Roman"/>
                <w:color w:val="auto"/>
                <w:kern w:val="0"/>
                <w:sz w:val="20"/>
                <w:szCs w:val="20"/>
                <w:highlight w:val="none"/>
                <w:lang w:val="en-US" w:eastAsia="zh-CN"/>
              </w:rPr>
              <w:t>100%</w:t>
            </w:r>
          </w:p>
        </w:tc>
      </w:tr>
      <w:tr>
        <w:tblPrEx>
          <w:tblLayout w:type="fixed"/>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eastAsia" w:ascii="仿宋_GB2312" w:cs="Times New Roman"/>
                <w:color w:val="auto"/>
                <w:kern w:val="0"/>
                <w:sz w:val="20"/>
                <w:szCs w:val="20"/>
                <w:highlight w:val="none"/>
              </w:rPr>
            </w:pPr>
            <w:r>
              <w:rPr>
                <w:rFonts w:hint="eastAsia" w:cs="Times New Roman"/>
                <w:color w:val="auto"/>
                <w:kern w:val="0"/>
                <w:sz w:val="20"/>
                <w:szCs w:val="20"/>
                <w:highlight w:val="none"/>
                <w:lang w:eastAsia="zh-CN"/>
              </w:rPr>
              <w:t>农业水价综合改革</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highlight w:val="none"/>
              </w:rPr>
            </w:pPr>
            <w:r>
              <w:rPr>
                <w:rFonts w:hint="eastAsia" w:eastAsia="等线" w:cs="Times New Roman"/>
                <w:color w:val="auto"/>
                <w:kern w:val="0"/>
                <w:sz w:val="20"/>
                <w:szCs w:val="20"/>
                <w:highlight w:val="none"/>
                <w:lang w:val="en-US" w:eastAsia="zh-CN"/>
              </w:rPr>
              <w:t>10</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highlight w:val="none"/>
              </w:rPr>
            </w:pPr>
            <w:r>
              <w:rPr>
                <w:rFonts w:hint="eastAsia" w:eastAsia="等线" w:cs="Times New Roman"/>
                <w:color w:val="auto"/>
                <w:kern w:val="0"/>
                <w:sz w:val="20"/>
                <w:szCs w:val="20"/>
                <w:highlight w:val="none"/>
                <w:lang w:val="en-US" w:eastAsia="zh-CN"/>
              </w:rPr>
              <w:t>10</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highlight w:val="none"/>
              </w:rPr>
            </w:pPr>
            <w:r>
              <w:rPr>
                <w:rFonts w:hint="eastAsia" w:eastAsia="等线" w:cs="Times New Roman"/>
                <w:color w:val="auto"/>
                <w:kern w:val="0"/>
                <w:sz w:val="20"/>
                <w:szCs w:val="20"/>
                <w:highlight w:val="none"/>
                <w:lang w:val="en-US" w:eastAsia="zh-CN"/>
              </w:rPr>
              <w:t>10</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ascii="仿宋_GB2312" w:cs="Times New Roman"/>
                <w:color w:val="auto"/>
                <w:kern w:val="0"/>
                <w:sz w:val="20"/>
                <w:szCs w:val="20"/>
                <w:highlight w:val="none"/>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ascii="仿宋_GB2312" w:cs="Times New Roman"/>
                <w:color w:val="auto"/>
                <w:kern w:val="0"/>
                <w:sz w:val="20"/>
                <w:szCs w:val="20"/>
                <w:highlight w:val="none"/>
                <w:lang w:val="en-US" w:eastAsia="zh-CN"/>
              </w:rPr>
              <w:t>100%</w:t>
            </w:r>
          </w:p>
        </w:tc>
      </w:tr>
      <w:tr>
        <w:tblPrEx>
          <w:tblLayout w:type="fixed"/>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eastAsia" w:ascii="仿宋_GB2312" w:cs="Times New Roman"/>
                <w:color w:val="auto"/>
                <w:kern w:val="0"/>
                <w:sz w:val="20"/>
                <w:szCs w:val="20"/>
              </w:rPr>
            </w:pPr>
            <w:r>
              <w:rPr>
                <w:rFonts w:hint="eastAsia" w:cs="Times New Roman"/>
                <w:color w:val="auto"/>
                <w:kern w:val="0"/>
                <w:sz w:val="20"/>
                <w:szCs w:val="20"/>
                <w:highlight w:val="none"/>
                <w:lang w:eastAsia="zh-CN"/>
              </w:rPr>
              <w:t>河长制建设</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highlight w:val="none"/>
                <w:lang w:val="en-US" w:eastAsia="zh-CN"/>
              </w:rPr>
              <w:t>35</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lang w:val="en-US" w:eastAsia="zh-CN"/>
              </w:rPr>
              <w:t>31</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40" w:lineRule="exact"/>
              <w:ind w:firstLine="0" w:firstLineChars="0"/>
              <w:jc w:val="center"/>
              <w:rPr>
                <w:rFonts w:ascii="仿宋_GB2312" w:cs="Times New Roman"/>
                <w:color w:val="auto"/>
                <w:kern w:val="0"/>
                <w:sz w:val="20"/>
                <w:szCs w:val="20"/>
              </w:rPr>
            </w:pPr>
            <w:r>
              <w:rPr>
                <w:rFonts w:hint="eastAsia" w:eastAsia="等线" w:cs="Times New Roman"/>
                <w:color w:val="auto"/>
                <w:kern w:val="0"/>
                <w:sz w:val="20"/>
                <w:szCs w:val="20"/>
                <w:lang w:val="en-US" w:eastAsia="zh-CN"/>
              </w:rPr>
              <w:t>31</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lang w:val="en-US" w:eastAsia="zh-CN"/>
              </w:rPr>
              <w:t>100%</w:t>
            </w:r>
          </w:p>
        </w:tc>
      </w:tr>
    </w:tbl>
    <w:p>
      <w:pPr>
        <w:widowControl w:val="0"/>
        <w:spacing w:line="260" w:lineRule="exact"/>
        <w:ind w:firstLine="0" w:firstLineChars="0"/>
        <w:rPr>
          <w:rFonts w:cs="Times New Roman"/>
          <w:color w:val="auto"/>
          <w:sz w:val="20"/>
          <w:szCs w:val="20"/>
        </w:rPr>
      </w:pPr>
      <w:r>
        <w:rPr>
          <w:rFonts w:cs="Times New Roman"/>
          <w:color w:val="auto"/>
          <w:sz w:val="20"/>
          <w:szCs w:val="20"/>
        </w:rPr>
        <w:t>注</w:t>
      </w:r>
      <w:r>
        <w:rPr>
          <w:rFonts w:hint="eastAsia" w:cs="Times New Roman"/>
          <w:color w:val="auto"/>
          <w:sz w:val="20"/>
          <w:szCs w:val="20"/>
        </w:rPr>
        <w:t>：根据</w:t>
      </w:r>
      <w:r>
        <w:rPr>
          <w:rFonts w:hint="eastAsia" w:cs="Times New Roman"/>
          <w:color w:val="auto"/>
          <w:kern w:val="0"/>
          <w:sz w:val="20"/>
          <w:szCs w:val="20"/>
        </w:rPr>
        <w:t>扣除贫困县资金</w:t>
      </w:r>
      <w:r>
        <w:rPr>
          <w:rFonts w:cs="Times New Roman"/>
          <w:color w:val="auto"/>
          <w:sz w:val="20"/>
          <w:szCs w:val="20"/>
        </w:rPr>
        <w:t>后</w:t>
      </w:r>
      <w:r>
        <w:rPr>
          <w:rFonts w:hint="eastAsia" w:cs="Times New Roman"/>
          <w:color w:val="auto"/>
          <w:sz w:val="20"/>
          <w:szCs w:val="20"/>
        </w:rPr>
        <w:t>投资（A）、</w:t>
      </w:r>
      <w:r>
        <w:rPr>
          <w:rFonts w:cs="Times New Roman"/>
          <w:color w:val="auto"/>
          <w:sz w:val="20"/>
          <w:szCs w:val="20"/>
        </w:rPr>
        <w:t>完成投资</w:t>
      </w:r>
      <w:r>
        <w:rPr>
          <w:rFonts w:hint="eastAsia" w:cs="Times New Roman"/>
          <w:color w:val="auto"/>
          <w:sz w:val="20"/>
          <w:szCs w:val="20"/>
        </w:rPr>
        <w:t>（</w:t>
      </w:r>
      <w:r>
        <w:rPr>
          <w:rFonts w:cs="Times New Roman"/>
          <w:color w:val="auto"/>
          <w:sz w:val="20"/>
          <w:szCs w:val="20"/>
        </w:rPr>
        <w:t>B</w:t>
      </w:r>
      <w:r>
        <w:rPr>
          <w:rFonts w:hint="eastAsia" w:cs="Times New Roman"/>
          <w:color w:val="auto"/>
          <w:sz w:val="20"/>
          <w:szCs w:val="20"/>
        </w:rPr>
        <w:t>）（</w:t>
      </w:r>
      <w:r>
        <w:rPr>
          <w:rFonts w:cs="Times New Roman"/>
          <w:color w:val="auto"/>
          <w:sz w:val="20"/>
          <w:szCs w:val="20"/>
        </w:rPr>
        <w:t>包括中央财政资金</w:t>
      </w:r>
      <w:r>
        <w:rPr>
          <w:rFonts w:hint="eastAsia" w:cs="Times New Roman"/>
          <w:color w:val="auto"/>
          <w:sz w:val="20"/>
          <w:szCs w:val="20"/>
        </w:rPr>
        <w:t>、省级财政资金、</w:t>
      </w:r>
      <w:r>
        <w:rPr>
          <w:rFonts w:cs="Times New Roman"/>
          <w:color w:val="auto"/>
          <w:sz w:val="20"/>
          <w:szCs w:val="20"/>
        </w:rPr>
        <w:t>地方财政资金和其他资金</w:t>
      </w:r>
      <w:r>
        <w:rPr>
          <w:rFonts w:hint="eastAsia" w:cs="Times New Roman"/>
          <w:color w:val="auto"/>
          <w:sz w:val="20"/>
          <w:szCs w:val="20"/>
        </w:rPr>
        <w:t>）计算投资完成率（</w:t>
      </w:r>
      <w:r>
        <w:rPr>
          <w:rFonts w:cs="Times New Roman"/>
          <w:color w:val="auto"/>
          <w:sz w:val="20"/>
          <w:szCs w:val="20"/>
        </w:rPr>
        <w:t>B/A</w:t>
      </w:r>
      <w:r>
        <w:rPr>
          <w:rFonts w:hint="eastAsia" w:cs="Times New Roman"/>
          <w:color w:val="auto"/>
          <w:sz w:val="20"/>
          <w:szCs w:val="20"/>
        </w:rPr>
        <w:t>）</w:t>
      </w:r>
    </w:p>
    <w:p>
      <w:pPr>
        <w:widowControl w:val="0"/>
        <w:spacing w:line="560" w:lineRule="exact"/>
        <w:ind w:firstLine="640"/>
        <w:rPr>
          <w:rFonts w:cs="Times New Roman"/>
          <w:color w:val="auto"/>
          <w:sz w:val="32"/>
          <w:szCs w:val="32"/>
        </w:rPr>
      </w:pPr>
      <w:r>
        <w:rPr>
          <w:rFonts w:hint="eastAsia" w:cs="Times New Roman"/>
          <w:color w:val="auto"/>
          <w:sz w:val="32"/>
          <w:szCs w:val="32"/>
        </w:rPr>
        <w:t>3.资金管理情况</w:t>
      </w:r>
    </w:p>
    <w:p>
      <w:pPr>
        <w:widowControl w:val="0"/>
        <w:spacing w:line="560" w:lineRule="exact"/>
        <w:ind w:firstLine="640"/>
        <w:rPr>
          <w:rFonts w:hint="eastAsia" w:ascii="仿宋" w:hAnsi="仿宋" w:eastAsia="仿宋" w:cs="仿宋"/>
          <w:sz w:val="30"/>
          <w:szCs w:val="30"/>
        </w:rPr>
      </w:pPr>
      <w:r>
        <w:rPr>
          <w:rFonts w:hint="eastAsia" w:ascii="仿宋" w:hAnsi="仿宋" w:eastAsia="仿宋" w:cs="仿宋"/>
          <w:sz w:val="30"/>
          <w:szCs w:val="30"/>
          <w:lang w:eastAsia="zh-CN"/>
        </w:rPr>
        <w:t>我县水利工程</w:t>
      </w:r>
      <w:r>
        <w:rPr>
          <w:rFonts w:hint="eastAsia" w:ascii="仿宋" w:hAnsi="仿宋" w:eastAsia="仿宋" w:cs="仿宋"/>
          <w:sz w:val="30"/>
          <w:szCs w:val="30"/>
        </w:rPr>
        <w:t>项目建设资金的管理严格执行基本建设财务管理制度，</w:t>
      </w:r>
      <w:r>
        <w:rPr>
          <w:rFonts w:hint="eastAsia" w:ascii="仿宋" w:hAnsi="仿宋" w:eastAsia="仿宋" w:cs="仿宋"/>
          <w:color w:val="auto"/>
          <w:sz w:val="30"/>
          <w:szCs w:val="30"/>
        </w:rPr>
        <w:t>实行财政专户管理，单独核算，</w:t>
      </w:r>
      <w:r>
        <w:rPr>
          <w:rFonts w:hint="eastAsia" w:ascii="仿宋" w:hAnsi="仿宋" w:eastAsia="仿宋" w:cs="仿宋"/>
          <w:sz w:val="30"/>
          <w:szCs w:val="30"/>
        </w:rPr>
        <w:t>确保专款专用。严格按照财政部、水利</w:t>
      </w:r>
      <w:r>
        <w:rPr>
          <w:rFonts w:hint="eastAsia" w:ascii="仿宋" w:hAnsi="仿宋" w:eastAsia="仿宋" w:cs="仿宋"/>
          <w:sz w:val="30"/>
          <w:szCs w:val="30"/>
          <w:lang w:eastAsia="zh-CN"/>
        </w:rPr>
        <w:t>部</w:t>
      </w:r>
      <w:r>
        <w:rPr>
          <w:rFonts w:hint="eastAsia" w:ascii="仿宋" w:hAnsi="仿宋" w:eastAsia="仿宋" w:cs="仿宋"/>
          <w:sz w:val="30"/>
          <w:szCs w:val="30"/>
        </w:rPr>
        <w:t>有关项目的专项资金管理办法进行管理和使用专项资金。资金实行国库集中支付</w:t>
      </w:r>
      <w:r>
        <w:rPr>
          <w:rFonts w:hint="eastAsia" w:ascii="仿宋" w:hAnsi="仿宋" w:eastAsia="仿宋" w:cs="仿宋"/>
          <w:sz w:val="30"/>
          <w:szCs w:val="30"/>
          <w:lang w:eastAsia="zh-CN"/>
        </w:rPr>
        <w:t>，</w:t>
      </w:r>
      <w:r>
        <w:rPr>
          <w:rFonts w:hint="eastAsia" w:ascii="仿宋" w:hAnsi="仿宋" w:eastAsia="仿宋" w:cs="仿宋"/>
          <w:color w:val="auto"/>
          <w:sz w:val="30"/>
          <w:szCs w:val="30"/>
        </w:rPr>
        <w:t>手续齐全真实，工程款的支付按照施工单位申请、监理审核、业主审批、财政直接支付的程序。</w:t>
      </w:r>
      <w:r>
        <w:rPr>
          <w:rFonts w:hint="eastAsia" w:ascii="仿宋" w:hAnsi="仿宋" w:eastAsia="仿宋" w:cs="仿宋"/>
          <w:sz w:val="30"/>
          <w:szCs w:val="30"/>
        </w:rPr>
        <w:t>由</w:t>
      </w:r>
      <w:r>
        <w:rPr>
          <w:rFonts w:hint="eastAsia" w:ascii="仿宋" w:hAnsi="仿宋" w:eastAsia="仿宋" w:cs="仿宋"/>
          <w:sz w:val="30"/>
          <w:szCs w:val="30"/>
          <w:lang w:eastAsia="zh-CN"/>
        </w:rPr>
        <w:t>县</w:t>
      </w:r>
      <w:r>
        <w:rPr>
          <w:rFonts w:hint="eastAsia" w:ascii="仿宋" w:hAnsi="仿宋" w:eastAsia="仿宋" w:cs="仿宋"/>
          <w:sz w:val="30"/>
          <w:szCs w:val="30"/>
        </w:rPr>
        <w:t>财政直接将资金拨付到项目</w:t>
      </w:r>
      <w:r>
        <w:rPr>
          <w:rFonts w:hint="eastAsia" w:ascii="仿宋" w:hAnsi="仿宋" w:eastAsia="仿宋" w:cs="仿宋"/>
          <w:sz w:val="30"/>
          <w:szCs w:val="30"/>
          <w:lang w:eastAsia="zh-CN"/>
        </w:rPr>
        <w:t>实施</w:t>
      </w:r>
      <w:r>
        <w:rPr>
          <w:rFonts w:hint="eastAsia" w:ascii="仿宋" w:hAnsi="仿宋" w:eastAsia="仿宋" w:cs="仿宋"/>
          <w:sz w:val="30"/>
          <w:szCs w:val="30"/>
        </w:rPr>
        <w:t>单位</w:t>
      </w:r>
      <w:r>
        <w:rPr>
          <w:rFonts w:hint="eastAsia" w:ascii="仿宋" w:hAnsi="仿宋" w:eastAsia="仿宋" w:cs="仿宋"/>
          <w:sz w:val="30"/>
          <w:szCs w:val="30"/>
          <w:lang w:eastAsia="zh-CN"/>
        </w:rPr>
        <w:t>；</w:t>
      </w:r>
      <w:r>
        <w:rPr>
          <w:rFonts w:hint="eastAsia" w:ascii="仿宋" w:hAnsi="仿宋" w:eastAsia="仿宋" w:cs="仿宋"/>
          <w:sz w:val="30"/>
          <w:szCs w:val="30"/>
        </w:rPr>
        <w:t>坚决执行党政一把手不直接管财务的各项规定，</w:t>
      </w:r>
      <w:r>
        <w:rPr>
          <w:rFonts w:hint="eastAsia" w:ascii="仿宋" w:hAnsi="仿宋" w:eastAsia="仿宋" w:cs="仿宋"/>
          <w:sz w:val="30"/>
          <w:szCs w:val="30"/>
          <w:lang w:eastAsia="zh-CN"/>
        </w:rPr>
        <w:t>杜绝</w:t>
      </w:r>
      <w:r>
        <w:rPr>
          <w:rFonts w:hint="eastAsia" w:ascii="仿宋" w:hAnsi="仿宋" w:eastAsia="仿宋" w:cs="仿宋"/>
          <w:sz w:val="30"/>
          <w:szCs w:val="30"/>
        </w:rPr>
        <w:t>大额现金支付工程款，一律使用转帐结算。坚持开展县审计部门对水利项目专项审计工作</w:t>
      </w:r>
      <w:r>
        <w:rPr>
          <w:rFonts w:hint="eastAsia" w:ascii="仿宋" w:hAnsi="仿宋" w:eastAsia="仿宋" w:cs="仿宋"/>
          <w:sz w:val="30"/>
          <w:szCs w:val="30"/>
          <w:lang w:eastAsia="zh-CN"/>
        </w:rPr>
        <w:t>；</w:t>
      </w:r>
      <w:r>
        <w:rPr>
          <w:rFonts w:hint="eastAsia" w:ascii="仿宋" w:hAnsi="仿宋" w:eastAsia="仿宋" w:cs="仿宋"/>
          <w:sz w:val="30"/>
          <w:szCs w:val="30"/>
        </w:rPr>
        <w:t>在历次</w:t>
      </w:r>
      <w:r>
        <w:rPr>
          <w:rFonts w:hint="eastAsia" w:ascii="仿宋" w:hAnsi="仿宋" w:eastAsia="仿宋" w:cs="仿宋"/>
          <w:sz w:val="30"/>
          <w:szCs w:val="30"/>
          <w:lang w:eastAsia="zh-CN"/>
        </w:rPr>
        <w:t>审计、稽查及监督检查</w:t>
      </w:r>
      <w:r>
        <w:rPr>
          <w:rFonts w:hint="eastAsia" w:ascii="仿宋" w:hAnsi="仿宋" w:eastAsia="仿宋" w:cs="仿宋"/>
          <w:sz w:val="30"/>
          <w:szCs w:val="30"/>
        </w:rPr>
        <w:t>中</w:t>
      </w:r>
      <w:r>
        <w:rPr>
          <w:rFonts w:hint="eastAsia" w:ascii="仿宋" w:hAnsi="仿宋" w:eastAsia="仿宋" w:cs="仿宋"/>
          <w:sz w:val="30"/>
          <w:szCs w:val="30"/>
          <w:lang w:eastAsia="zh-CN"/>
        </w:rPr>
        <w:t>从</w:t>
      </w:r>
      <w:r>
        <w:rPr>
          <w:rFonts w:hint="eastAsia" w:ascii="仿宋" w:hAnsi="仿宋" w:eastAsia="仿宋" w:cs="仿宋"/>
          <w:sz w:val="30"/>
          <w:szCs w:val="30"/>
        </w:rPr>
        <w:t>未发现资金</w:t>
      </w:r>
      <w:r>
        <w:rPr>
          <w:rFonts w:hint="eastAsia" w:ascii="仿宋" w:hAnsi="仿宋" w:eastAsia="仿宋" w:cs="仿宋"/>
          <w:sz w:val="30"/>
          <w:szCs w:val="30"/>
          <w:lang w:eastAsia="zh-CN"/>
        </w:rPr>
        <w:t>安全</w:t>
      </w:r>
      <w:r>
        <w:rPr>
          <w:rFonts w:hint="eastAsia" w:ascii="仿宋" w:hAnsi="仿宋" w:eastAsia="仿宋" w:cs="仿宋"/>
          <w:sz w:val="30"/>
          <w:szCs w:val="30"/>
        </w:rPr>
        <w:t>问题。</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（二）项目管理情况分析</w:t>
      </w:r>
    </w:p>
    <w:p>
      <w:pPr>
        <w:pageBreakBefore w:val="0"/>
        <w:widowControl w:val="0"/>
        <w:kinsoku/>
        <w:wordWrap/>
        <w:overflowPunct/>
        <w:topLinePunct w:val="0"/>
        <w:autoSpaceDE/>
        <w:autoSpaceDN/>
        <w:bidi w:val="0"/>
        <w:adjustRightInd/>
        <w:snapToGrid/>
        <w:spacing w:line="560" w:lineRule="exact"/>
        <w:ind w:firstLine="640"/>
        <w:textAlignment w:val="auto"/>
        <w:rPr>
          <w:rFonts w:cs="Times New Roman"/>
          <w:color w:val="auto"/>
          <w:sz w:val="32"/>
          <w:szCs w:val="32"/>
        </w:rPr>
      </w:pPr>
      <w:r>
        <w:rPr>
          <w:rFonts w:hint="eastAsia" w:cs="Times New Roman"/>
          <w:color w:val="auto"/>
          <w:sz w:val="32"/>
          <w:szCs w:val="32"/>
        </w:rPr>
        <w:t>1.组织实施</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highlight w:val="none"/>
          <w:lang w:eastAsia="zh-CN"/>
        </w:rPr>
      </w:pPr>
      <w:r>
        <w:rPr>
          <w:rFonts w:hint="eastAsia" w:ascii="仿宋" w:hAnsi="仿宋" w:eastAsia="仿宋" w:cs="仿宋"/>
          <w:b w:val="0"/>
          <w:bCs w:val="0"/>
          <w:sz w:val="30"/>
          <w:szCs w:val="30"/>
          <w:highlight w:val="none"/>
        </w:rPr>
        <w:t>山洪灾害防治</w:t>
      </w:r>
      <w:r>
        <w:rPr>
          <w:rFonts w:hint="eastAsia" w:ascii="仿宋" w:hAnsi="仿宋" w:eastAsia="仿宋" w:cs="仿宋"/>
          <w:b w:val="0"/>
          <w:bCs w:val="0"/>
          <w:sz w:val="30"/>
          <w:szCs w:val="30"/>
          <w:highlight w:val="none"/>
          <w:lang w:eastAsia="zh-CN"/>
        </w:rPr>
        <w:t>项目</w:t>
      </w:r>
      <w:r>
        <w:rPr>
          <w:rFonts w:hint="eastAsia" w:ascii="仿宋" w:hAnsi="仿宋" w:eastAsia="仿宋" w:cs="仿宋"/>
          <w:b w:val="0"/>
          <w:bCs w:val="0"/>
          <w:sz w:val="30"/>
          <w:szCs w:val="30"/>
          <w:highlight w:val="none"/>
        </w:rPr>
        <w:t>由</w:t>
      </w:r>
      <w:r>
        <w:rPr>
          <w:rFonts w:hint="eastAsia" w:ascii="仿宋" w:hAnsi="仿宋" w:eastAsia="仿宋" w:cs="仿宋"/>
          <w:b w:val="0"/>
          <w:bCs w:val="0"/>
          <w:sz w:val="30"/>
          <w:szCs w:val="30"/>
          <w:highlight w:val="none"/>
          <w:lang w:eastAsia="zh-CN"/>
        </w:rPr>
        <w:t>县</w:t>
      </w:r>
      <w:r>
        <w:rPr>
          <w:rFonts w:hint="eastAsia" w:ascii="仿宋" w:hAnsi="仿宋" w:eastAsia="仿宋" w:cs="仿宋"/>
          <w:b w:val="0"/>
          <w:bCs w:val="0"/>
          <w:sz w:val="30"/>
          <w:szCs w:val="30"/>
          <w:highlight w:val="none"/>
        </w:rPr>
        <w:t>防汛抗旱指挥部负责组织领导及具体实施，各有关乡镇、行政村积极配合</w:t>
      </w:r>
      <w:r>
        <w:rPr>
          <w:rFonts w:hint="eastAsia" w:ascii="仿宋" w:hAnsi="仿宋" w:eastAsia="仿宋" w:cs="仿宋"/>
          <w:b w:val="0"/>
          <w:bCs w:val="0"/>
          <w:sz w:val="30"/>
          <w:szCs w:val="30"/>
          <w:highlight w:val="none"/>
          <w:lang w:eastAsia="zh-CN"/>
        </w:rPr>
        <w:t>；国有公益性水利工程维修养护项目项目</w:t>
      </w:r>
      <w:r>
        <w:rPr>
          <w:rFonts w:hint="eastAsia" w:ascii="仿宋" w:hAnsi="仿宋" w:eastAsia="仿宋" w:cs="仿宋"/>
          <w:b w:val="0"/>
          <w:bCs w:val="0"/>
          <w:sz w:val="30"/>
          <w:szCs w:val="30"/>
          <w:highlight w:val="none"/>
        </w:rPr>
        <w:t>由</w:t>
      </w:r>
      <w:r>
        <w:rPr>
          <w:rFonts w:hint="eastAsia" w:ascii="仿宋" w:hAnsi="仿宋" w:eastAsia="仿宋" w:cs="仿宋"/>
          <w:b w:val="0"/>
          <w:bCs w:val="0"/>
          <w:sz w:val="30"/>
          <w:szCs w:val="30"/>
          <w:highlight w:val="none"/>
          <w:lang w:eastAsia="zh-CN"/>
        </w:rPr>
        <w:t>县</w:t>
      </w:r>
      <w:r>
        <w:rPr>
          <w:rFonts w:hint="eastAsia" w:ascii="仿宋" w:hAnsi="仿宋" w:eastAsia="仿宋" w:cs="仿宋"/>
          <w:b w:val="0"/>
          <w:bCs w:val="0"/>
          <w:sz w:val="30"/>
          <w:szCs w:val="30"/>
          <w:highlight w:val="none"/>
        </w:rPr>
        <w:t>水利局负责项目的组织领导及监督，</w:t>
      </w:r>
      <w:r>
        <w:rPr>
          <w:rFonts w:hint="eastAsia" w:ascii="仿宋" w:hAnsi="仿宋" w:eastAsia="仿宋" w:cs="仿宋"/>
          <w:b w:val="0"/>
          <w:bCs w:val="0"/>
          <w:sz w:val="30"/>
          <w:szCs w:val="30"/>
          <w:highlight w:val="none"/>
          <w:lang w:eastAsia="zh-CN"/>
        </w:rPr>
        <w:t>由县水库工程管理局、乡镇水务总站</w:t>
      </w:r>
      <w:r>
        <w:rPr>
          <w:rFonts w:hint="eastAsia" w:ascii="仿宋" w:hAnsi="仿宋" w:eastAsia="仿宋" w:cs="仿宋"/>
          <w:b w:val="0"/>
          <w:bCs w:val="0"/>
          <w:sz w:val="30"/>
          <w:szCs w:val="30"/>
          <w:highlight w:val="none"/>
        </w:rPr>
        <w:t>负责具体实施</w:t>
      </w:r>
      <w:r>
        <w:rPr>
          <w:rFonts w:hint="eastAsia" w:ascii="仿宋" w:hAnsi="仿宋" w:eastAsia="仿宋" w:cs="仿宋"/>
          <w:b w:val="0"/>
          <w:bCs w:val="0"/>
          <w:sz w:val="30"/>
          <w:szCs w:val="30"/>
          <w:highlight w:val="none"/>
          <w:lang w:eastAsia="zh-CN"/>
        </w:rPr>
        <w:t>；农业水价综合改革项目由县水利局农水股负责实施；河长制建设由县河长办负责实施。</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另外，我局就水利工程建设还出台了《实行“四项制度”管理的规定》，水利工程项目建设严格执行项目法人制、招标投标制、建设监理制、合同管理制。</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Cs/>
          <w:color w:val="0000FF"/>
          <w:sz w:val="30"/>
          <w:szCs w:val="30"/>
        </w:rPr>
      </w:pPr>
      <w:r>
        <w:rPr>
          <w:rFonts w:hint="eastAsia" w:ascii="仿宋" w:hAnsi="仿宋" w:eastAsia="仿宋" w:cs="仿宋"/>
          <w:sz w:val="30"/>
          <w:szCs w:val="30"/>
          <w:lang w:val="en-US" w:eastAsia="zh-CN"/>
        </w:rPr>
        <w:t>我县自评材料填报规范、盖章规范。</w:t>
      </w:r>
    </w:p>
    <w:p>
      <w:pPr>
        <w:pageBreakBefore w:val="0"/>
        <w:widowControl w:val="0"/>
        <w:numPr>
          <w:ilvl w:val="0"/>
          <w:numId w:val="1"/>
        </w:numPr>
        <w:kinsoku/>
        <w:wordWrap/>
        <w:overflowPunct/>
        <w:topLinePunct w:val="0"/>
        <w:autoSpaceDE/>
        <w:autoSpaceDN/>
        <w:bidi w:val="0"/>
        <w:adjustRightInd/>
        <w:snapToGrid/>
        <w:spacing w:line="560" w:lineRule="exact"/>
        <w:ind w:firstLine="640"/>
        <w:textAlignment w:val="auto"/>
        <w:rPr>
          <w:rFonts w:hint="eastAsia" w:cs="Times New Roman"/>
          <w:color w:val="auto"/>
          <w:sz w:val="32"/>
          <w:szCs w:val="32"/>
        </w:rPr>
      </w:pPr>
      <w:r>
        <w:rPr>
          <w:rFonts w:hint="eastAsia" w:cs="Times New Roman"/>
          <w:color w:val="auto"/>
          <w:sz w:val="32"/>
          <w:szCs w:val="32"/>
        </w:rPr>
        <w:t>绩效管理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eastAsia="仿宋_GB2312"/>
          <w:color w:val="FF0000"/>
          <w:highlight w:val="none"/>
          <w:lang w:val="en-US" w:eastAsia="zh-CN"/>
        </w:rPr>
      </w:pPr>
      <w:r>
        <w:rPr>
          <w:rFonts w:hint="eastAsia" w:ascii="仿宋" w:hAnsi="仿宋" w:eastAsia="仿宋" w:cs="仿宋"/>
          <w:color w:val="auto"/>
          <w:sz w:val="30"/>
          <w:szCs w:val="30"/>
          <w:highlight w:val="none"/>
          <w:lang w:val="en-US" w:eastAsia="zh-CN"/>
        </w:rPr>
        <w:t>我局针对水利工程建设，出台了《</w:t>
      </w:r>
      <w:r>
        <w:rPr>
          <w:rFonts w:hint="eastAsia" w:ascii="仿宋" w:hAnsi="仿宋" w:eastAsia="仿宋" w:cs="仿宋"/>
          <w:sz w:val="30"/>
          <w:szCs w:val="30"/>
          <w:highlight w:val="none"/>
          <w:lang w:val="en-US" w:eastAsia="zh-CN"/>
        </w:rPr>
        <w:t>大余县水利工程项目绩效管理暂行办法》，</w:t>
      </w:r>
      <w:r>
        <w:rPr>
          <w:rFonts w:hint="eastAsia" w:ascii="仿宋" w:hAnsi="仿宋" w:eastAsia="仿宋" w:cs="仿宋"/>
          <w:color w:val="auto"/>
          <w:sz w:val="30"/>
          <w:szCs w:val="30"/>
          <w:highlight w:val="none"/>
          <w:lang w:val="en-US" w:eastAsia="zh-CN"/>
        </w:rPr>
        <w:t>为切实做好我县2018年度中央水利发展资金绩效自评工作，于6月7日召集县水利局、财政局相关科室人员，召开2018年度中央水利发展资金及省级财政专项资金绩效评价布置会，会议要求严格按照省厅财政厅、水利厅赣财农［2019］20号文件精神进行项目资金绩效评价，明确县水利局、财政局分别安排1名固定人员具体负责绩效目标管理工作，水利局相关科室人员负责提供项目绩效作证材料，财政局负责审核；采取实事求是、责任到人的方法开展自评，确保资料填报及时、准确。</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并做到了自评报告及表格填报准确、完整，应提供的绩效目标调整情况等说明和证明材料清晰。</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（三）产出指标完成情况分析</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cs="Times New Roman"/>
          <w:color w:val="auto"/>
          <w:sz w:val="32"/>
          <w:szCs w:val="32"/>
        </w:rPr>
      </w:pPr>
      <w:r>
        <w:rPr>
          <w:rFonts w:hint="eastAsia" w:cs="Times New Roman"/>
          <w:color w:val="auto"/>
          <w:sz w:val="32"/>
          <w:szCs w:val="32"/>
        </w:rPr>
        <w:t>1.项目数量指标</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a、实施山洪灾害防治的县数（个），年度目标开展1个，实际完成1个县。</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b、水土流失综合治理面积 （平方公里），年度目标10平方公里，完成目标10平方公里。</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c、新增农业水价综合改革面积年度目标0.2万亩，实际完成0.2万亩。</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d、公益性水利设施维修养护（水库工程）（座），年度目标5座，实际完成5座水库。</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highlight w:val="none"/>
          <w:lang w:val="en-US" w:eastAsia="zh-CN"/>
        </w:rPr>
        <w:t>e、公益性水利设施维修养护（堤防工程）（公里），年度目标33公里，完成目标33公里。</w:t>
      </w:r>
      <w:r>
        <w:rPr>
          <w:rFonts w:hint="eastAsia" w:ascii="仿宋" w:hAnsi="仿宋" w:eastAsia="仿宋" w:cs="仿宋"/>
          <w:color w:val="auto"/>
          <w:sz w:val="30"/>
          <w:szCs w:val="30"/>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2、项目质量指标</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2018年安排有中央水利发展资金的项目，全部完成了竣工验收（合同完工或分部验收），验收率100%，</w:t>
      </w:r>
      <w:r>
        <w:rPr>
          <w:rFonts w:hint="eastAsia" w:ascii="仿宋" w:hAnsi="仿宋" w:eastAsia="仿宋" w:cs="仿宋"/>
          <w:color w:val="auto"/>
          <w:sz w:val="30"/>
          <w:szCs w:val="30"/>
          <w:highlight w:val="none"/>
          <w:lang w:val="en-US" w:eastAsia="zh-CN"/>
        </w:rPr>
        <w:t>13</w:t>
      </w:r>
      <w:r>
        <w:rPr>
          <w:rFonts w:hint="eastAsia" w:ascii="仿宋" w:hAnsi="仿宋" w:eastAsia="仿宋" w:cs="仿宋"/>
          <w:color w:val="auto"/>
          <w:sz w:val="30"/>
          <w:szCs w:val="30"/>
          <w:lang w:val="en-US" w:eastAsia="zh-CN"/>
        </w:rPr>
        <w:t>个项目全部验收合格。已建工程不存在质量问题等。</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3、项目时效指标</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我县2018年度中央水利发展资金项目全部开工建设，并于2019年6月底全面完成年度投资计划，投资完成比例100%；验收率100%。</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cs="Times New Roman"/>
          <w:color w:val="auto"/>
        </w:rPr>
      </w:pPr>
      <w:r>
        <w:rPr>
          <w:rFonts w:hint="eastAsia" w:cs="Times New Roman"/>
          <w:color w:val="auto"/>
        </w:rPr>
        <w:t>表</w:t>
      </w:r>
      <w:r>
        <w:rPr>
          <w:rFonts w:cs="Times New Roman"/>
          <w:color w:val="auto"/>
        </w:rPr>
        <w:t>3-3  2018</w:t>
      </w:r>
      <w:r>
        <w:rPr>
          <w:rFonts w:hint="eastAsia" w:cs="Times New Roman"/>
          <w:color w:val="auto"/>
        </w:rPr>
        <w:t>年度水利发展资金项目实施进度情况表（不含整合资金）</w:t>
      </w:r>
    </w:p>
    <w:tbl>
      <w:tblPr>
        <w:tblStyle w:val="7"/>
        <w:tblW w:w="8408" w:type="dxa"/>
        <w:tblInd w:w="0" w:type="dxa"/>
        <w:tblLayout w:type="fixed"/>
        <w:tblCellMar>
          <w:top w:w="0" w:type="dxa"/>
          <w:left w:w="51" w:type="dxa"/>
          <w:bottom w:w="0" w:type="dxa"/>
          <w:right w:w="51" w:type="dxa"/>
        </w:tblCellMar>
      </w:tblPr>
      <w:tblGrid>
        <w:gridCol w:w="3412"/>
        <w:gridCol w:w="713"/>
        <w:gridCol w:w="713"/>
        <w:gridCol w:w="713"/>
        <w:gridCol w:w="713"/>
        <w:gridCol w:w="718"/>
        <w:gridCol w:w="713"/>
        <w:gridCol w:w="713"/>
      </w:tblGrid>
      <w:tr>
        <w:tblPrEx>
          <w:tblLayout w:type="fixed"/>
          <w:tblCellMar>
            <w:top w:w="0" w:type="dxa"/>
            <w:left w:w="51" w:type="dxa"/>
            <w:bottom w:w="0" w:type="dxa"/>
            <w:right w:w="51" w:type="dxa"/>
          </w:tblCellMar>
        </w:tblPrEx>
        <w:trPr>
          <w:trHeight w:val="411" w:hRule="atLeast"/>
          <w:tblHeader/>
        </w:trPr>
        <w:tc>
          <w:tcPr>
            <w:tcW w:w="341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分  类</w:t>
            </w:r>
          </w:p>
        </w:tc>
        <w:tc>
          <w:tcPr>
            <w:tcW w:w="3570" w:type="dxa"/>
            <w:gridSpan w:val="5"/>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实施项目数（个）</w:t>
            </w:r>
          </w:p>
        </w:tc>
        <w:tc>
          <w:tcPr>
            <w:tcW w:w="71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项目完工率（%）</w:t>
            </w:r>
          </w:p>
        </w:tc>
        <w:tc>
          <w:tcPr>
            <w:tcW w:w="71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项目验收率（%）</w:t>
            </w:r>
          </w:p>
        </w:tc>
      </w:tr>
      <w:tr>
        <w:tblPrEx>
          <w:tblLayout w:type="fixed"/>
          <w:tblCellMar>
            <w:top w:w="0" w:type="dxa"/>
            <w:left w:w="51" w:type="dxa"/>
            <w:bottom w:w="0" w:type="dxa"/>
            <w:right w:w="51" w:type="dxa"/>
          </w:tblCellMar>
        </w:tblPrEx>
        <w:trPr>
          <w:trHeight w:val="20" w:hRule="atLeast"/>
          <w:tblHeader/>
        </w:trPr>
        <w:tc>
          <w:tcPr>
            <w:tcW w:w="3412" w:type="dxa"/>
            <w:vMerge w:val="continue"/>
            <w:tcBorders>
              <w:top w:val="single" w:color="auto" w:sz="4" w:space="0"/>
              <w:left w:val="single" w:color="auto" w:sz="4" w:space="0"/>
              <w:bottom w:val="single" w:color="auto" w:sz="4" w:space="0"/>
              <w:right w:val="single" w:color="auto" w:sz="4" w:space="0"/>
            </w:tcBorders>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总数</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项目</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开工</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项目</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完工</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完工</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验收</w:t>
            </w:r>
          </w:p>
        </w:tc>
        <w:tc>
          <w:tcPr>
            <w:tcW w:w="71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验收</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合格</w:t>
            </w:r>
          </w:p>
        </w:tc>
        <w:tc>
          <w:tcPr>
            <w:tcW w:w="713" w:type="dxa"/>
            <w:vMerge w:val="continue"/>
            <w:tcBorders>
              <w:top w:val="single" w:color="auto" w:sz="4" w:space="0"/>
              <w:left w:val="single" w:color="auto" w:sz="4" w:space="0"/>
              <w:bottom w:val="single" w:color="000000" w:sz="4" w:space="0"/>
              <w:right w:val="single" w:color="auto" w:sz="4" w:space="0"/>
            </w:tcBorders>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p>
        </w:tc>
        <w:tc>
          <w:tcPr>
            <w:tcW w:w="713" w:type="dxa"/>
            <w:vMerge w:val="continue"/>
            <w:tcBorders>
              <w:top w:val="single" w:color="auto" w:sz="4" w:space="0"/>
              <w:left w:val="single" w:color="auto" w:sz="4" w:space="0"/>
              <w:bottom w:val="single" w:color="000000" w:sz="4" w:space="0"/>
              <w:right w:val="single" w:color="auto" w:sz="4" w:space="0"/>
            </w:tcBorders>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p>
        </w:tc>
      </w:tr>
      <w:tr>
        <w:tblPrEx>
          <w:tblLayout w:type="fixed"/>
          <w:tblCellMar>
            <w:top w:w="0" w:type="dxa"/>
            <w:left w:w="51" w:type="dxa"/>
            <w:bottom w:w="0" w:type="dxa"/>
            <w:right w:w="51" w:type="dxa"/>
          </w:tblCellMar>
        </w:tblPrEx>
        <w:trPr>
          <w:trHeight w:val="2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水土保持工程建设</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4</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4</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4</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4</w:t>
            </w:r>
          </w:p>
        </w:tc>
        <w:tc>
          <w:tcPr>
            <w:tcW w:w="71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4</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100%</w:t>
            </w:r>
          </w:p>
        </w:tc>
        <w:tc>
          <w:tcPr>
            <w:tcW w:w="713"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cs="Times New Roman"/>
                <w:color w:val="auto"/>
                <w:kern w:val="0"/>
                <w:sz w:val="22"/>
                <w:highlight w:val="none"/>
                <w:lang w:val="en-US"/>
              </w:rPr>
            </w:pPr>
            <w:r>
              <w:rPr>
                <w:rFonts w:hint="eastAsia" w:ascii="仿宋_GB2312" w:cs="Times New Roman"/>
                <w:color w:val="auto"/>
                <w:kern w:val="0"/>
                <w:sz w:val="22"/>
                <w:highlight w:val="none"/>
                <w:lang w:val="en-US" w:eastAsia="zh-CN"/>
              </w:rPr>
              <w:t>100%</w:t>
            </w:r>
          </w:p>
        </w:tc>
      </w:tr>
      <w:tr>
        <w:tblPrEx>
          <w:tblLayout w:type="fixed"/>
          <w:tblCellMar>
            <w:top w:w="0" w:type="dxa"/>
            <w:left w:w="51" w:type="dxa"/>
            <w:bottom w:w="0" w:type="dxa"/>
            <w:right w:w="51" w:type="dxa"/>
          </w:tblCellMar>
        </w:tblPrEx>
        <w:trPr>
          <w:trHeight w:val="2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cs="Times New Roman"/>
                <w:color w:val="auto"/>
                <w:kern w:val="0"/>
                <w:sz w:val="20"/>
                <w:szCs w:val="20"/>
                <w:highlight w:val="none"/>
              </w:rPr>
              <w:t>山洪灾害防治</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w:t>
            </w:r>
          </w:p>
        </w:tc>
        <w:tc>
          <w:tcPr>
            <w:tcW w:w="71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r>
      <w:tr>
        <w:tblPrEx>
          <w:tblLayout w:type="fixed"/>
          <w:tblCellMar>
            <w:top w:w="0" w:type="dxa"/>
            <w:left w:w="51" w:type="dxa"/>
            <w:bottom w:w="0" w:type="dxa"/>
            <w:right w:w="51" w:type="dxa"/>
          </w:tblCellMar>
        </w:tblPrEx>
        <w:trPr>
          <w:trHeight w:val="2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highlight w:val="none"/>
              </w:rPr>
            </w:pPr>
            <w:r>
              <w:rPr>
                <w:rFonts w:hint="eastAsia" w:cs="Times New Roman"/>
                <w:color w:val="auto"/>
                <w:kern w:val="0"/>
                <w:sz w:val="18"/>
                <w:szCs w:val="18"/>
                <w:highlight w:val="none"/>
                <w:lang w:eastAsia="zh-CN"/>
              </w:rPr>
              <w:t>水利工程维修养护</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5</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5</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5</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5</w:t>
            </w:r>
          </w:p>
        </w:tc>
        <w:tc>
          <w:tcPr>
            <w:tcW w:w="71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5</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r>
      <w:tr>
        <w:tblPrEx>
          <w:tblLayout w:type="fixed"/>
          <w:tblCellMar>
            <w:top w:w="0" w:type="dxa"/>
            <w:left w:w="51" w:type="dxa"/>
            <w:bottom w:w="0" w:type="dxa"/>
            <w:right w:w="51" w:type="dxa"/>
          </w:tblCellMar>
        </w:tblPrEx>
        <w:trPr>
          <w:trHeight w:val="2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eastAsia" w:ascii="仿宋_GB2312" w:cs="Times New Roman"/>
                <w:color w:val="auto"/>
                <w:kern w:val="0"/>
                <w:sz w:val="20"/>
                <w:szCs w:val="20"/>
                <w:highlight w:val="none"/>
              </w:rPr>
            </w:pPr>
            <w:r>
              <w:rPr>
                <w:rFonts w:hint="eastAsia" w:cs="Times New Roman"/>
                <w:color w:val="auto"/>
                <w:kern w:val="0"/>
                <w:sz w:val="20"/>
                <w:szCs w:val="20"/>
                <w:highlight w:val="none"/>
                <w:lang w:eastAsia="zh-CN"/>
              </w:rPr>
              <w:t>农业水价综合改革</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w:t>
            </w:r>
          </w:p>
        </w:tc>
        <w:tc>
          <w:tcPr>
            <w:tcW w:w="71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r>
      <w:tr>
        <w:tblPrEx>
          <w:tblLayout w:type="fixed"/>
          <w:tblCellMar>
            <w:top w:w="0" w:type="dxa"/>
            <w:left w:w="51" w:type="dxa"/>
            <w:bottom w:w="0" w:type="dxa"/>
            <w:right w:w="51" w:type="dxa"/>
          </w:tblCellMar>
        </w:tblPrEx>
        <w:trPr>
          <w:trHeight w:val="2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eastAsia" w:ascii="仿宋_GB2312" w:cs="Times New Roman"/>
                <w:color w:val="auto"/>
                <w:kern w:val="0"/>
                <w:sz w:val="20"/>
                <w:szCs w:val="20"/>
                <w:highlight w:val="none"/>
              </w:rPr>
            </w:pPr>
            <w:r>
              <w:rPr>
                <w:rFonts w:hint="eastAsia" w:cs="Times New Roman"/>
                <w:color w:val="auto"/>
                <w:kern w:val="0"/>
                <w:sz w:val="20"/>
                <w:szCs w:val="20"/>
                <w:highlight w:val="none"/>
                <w:lang w:eastAsia="zh-CN"/>
              </w:rPr>
              <w:t>河长制建设</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2</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2</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2</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2</w:t>
            </w:r>
          </w:p>
        </w:tc>
        <w:tc>
          <w:tcPr>
            <w:tcW w:w="71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2</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c>
          <w:tcPr>
            <w:tcW w:w="713"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r>
    </w:tbl>
    <w:p>
      <w:pPr>
        <w:pageBreakBefore w:val="0"/>
        <w:widowControl w:val="0"/>
        <w:kinsoku/>
        <w:wordWrap/>
        <w:overflowPunct/>
        <w:topLinePunct w:val="0"/>
        <w:autoSpaceDE/>
        <w:autoSpaceDN/>
        <w:bidi w:val="0"/>
        <w:adjustRightInd/>
        <w:snapToGrid/>
        <w:spacing w:line="560" w:lineRule="exact"/>
        <w:ind w:firstLine="640"/>
        <w:textAlignment w:val="auto"/>
        <w:rPr>
          <w:rFonts w:cs="Times New Roman"/>
          <w:color w:val="auto"/>
          <w:sz w:val="32"/>
        </w:rPr>
      </w:pPr>
      <w:r>
        <w:rPr>
          <w:rFonts w:cs="Times New Roman"/>
          <w:color w:val="auto"/>
          <w:sz w:val="32"/>
        </w:rPr>
        <w:t>4</w:t>
      </w:r>
      <w:r>
        <w:rPr>
          <w:rFonts w:hint="eastAsia" w:cs="Times New Roman"/>
          <w:color w:val="auto"/>
          <w:sz w:val="32"/>
        </w:rPr>
        <w:t>.项目成本指标</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color w:val="0000FF"/>
          <w:sz w:val="30"/>
          <w:szCs w:val="30"/>
        </w:rPr>
      </w:pPr>
      <w:r>
        <w:rPr>
          <w:rFonts w:hint="eastAsia" w:ascii="仿宋_GB2312"/>
          <w:color w:val="auto"/>
          <w:sz w:val="30"/>
          <w:szCs w:val="30"/>
        </w:rPr>
        <w:t>我</w:t>
      </w:r>
      <w:r>
        <w:rPr>
          <w:rFonts w:hint="eastAsia" w:ascii="仿宋_GB2312"/>
          <w:color w:val="auto"/>
          <w:sz w:val="30"/>
          <w:szCs w:val="30"/>
          <w:lang w:eastAsia="zh-CN"/>
        </w:rPr>
        <w:t>县</w:t>
      </w:r>
      <w:r>
        <w:rPr>
          <w:rFonts w:hint="eastAsia" w:ascii="仿宋_GB2312"/>
          <w:color w:val="auto"/>
          <w:sz w:val="30"/>
          <w:szCs w:val="30"/>
        </w:rPr>
        <w:t>在</w:t>
      </w:r>
      <w:r>
        <w:rPr>
          <w:rFonts w:ascii="仿宋_GB2312"/>
          <w:color w:val="auto"/>
          <w:sz w:val="30"/>
          <w:szCs w:val="30"/>
        </w:rPr>
        <w:t>项目</w:t>
      </w:r>
      <w:r>
        <w:rPr>
          <w:rFonts w:hint="eastAsia" w:ascii="仿宋_GB2312"/>
          <w:color w:val="auto"/>
          <w:sz w:val="30"/>
          <w:szCs w:val="30"/>
        </w:rPr>
        <w:t>实施过程中</w:t>
      </w:r>
      <w:r>
        <w:rPr>
          <w:rFonts w:hint="eastAsia" w:ascii="仿宋_GB2312"/>
          <w:sz w:val="30"/>
          <w:szCs w:val="30"/>
        </w:rPr>
        <w:t>，严格控制经费支出，每个项目成本均控制在批复概算内。</w:t>
      </w:r>
    </w:p>
    <w:p>
      <w:pPr>
        <w:pStyle w:val="3"/>
        <w:pageBreakBefore w:val="0"/>
        <w:widowControl w:val="0"/>
        <w:kinsoku/>
        <w:wordWrap/>
        <w:overflowPunct/>
        <w:topLinePunct w:val="0"/>
        <w:autoSpaceDE/>
        <w:autoSpaceDN/>
        <w:bidi w:val="0"/>
        <w:adjustRightInd/>
        <w:snapToGrid/>
        <w:spacing w:line="58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（四）效益指标完成情况分析</w:t>
      </w:r>
    </w:p>
    <w:p>
      <w:pPr>
        <w:pageBreakBefore w:val="0"/>
        <w:widowControl w:val="0"/>
        <w:numPr>
          <w:ilvl w:val="0"/>
          <w:numId w:val="2"/>
        </w:numPr>
        <w:kinsoku/>
        <w:wordWrap/>
        <w:overflowPunct/>
        <w:topLinePunct w:val="0"/>
        <w:autoSpaceDE/>
        <w:autoSpaceDN/>
        <w:bidi w:val="0"/>
        <w:adjustRightInd/>
        <w:snapToGrid/>
        <w:spacing w:line="580" w:lineRule="exact"/>
        <w:ind w:firstLine="640"/>
        <w:textAlignment w:val="auto"/>
        <w:rPr>
          <w:rFonts w:hint="eastAsia" w:cs="Times New Roman"/>
          <w:color w:val="auto"/>
          <w:sz w:val="32"/>
        </w:rPr>
      </w:pPr>
      <w:r>
        <w:rPr>
          <w:rFonts w:hint="eastAsia" w:cs="Times New Roman"/>
          <w:color w:val="auto"/>
          <w:sz w:val="32"/>
        </w:rPr>
        <w:t>项目实施的经济效益分析</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highlight w:val="none"/>
        </w:rPr>
      </w:pPr>
      <w:r>
        <w:rPr>
          <w:rFonts w:hint="eastAsia" w:ascii="仿宋_GB2312" w:hAnsi="Times New Roman"/>
          <w:color w:val="auto"/>
          <w:sz w:val="30"/>
          <w:szCs w:val="30"/>
          <w:highlight w:val="none"/>
        </w:rPr>
        <w:t>水土保持工程建设项目的实施，可有效保障防护区内人民生命和财产安全，改善项目区经济发展环境，提升</w:t>
      </w:r>
      <w:r>
        <w:rPr>
          <w:rFonts w:hint="eastAsia" w:ascii="仿宋_GB2312" w:hAnsi="Times New Roman"/>
          <w:color w:val="auto"/>
          <w:sz w:val="30"/>
          <w:szCs w:val="30"/>
          <w:highlight w:val="none"/>
          <w:lang w:eastAsia="zh-CN"/>
        </w:rPr>
        <w:t>生态环境；</w:t>
      </w:r>
      <w:r>
        <w:rPr>
          <w:rFonts w:hint="eastAsia" w:ascii="仿宋_GB2312" w:hAnsi="Times New Roman"/>
          <w:color w:val="auto"/>
          <w:sz w:val="30"/>
          <w:szCs w:val="30"/>
          <w:highlight w:val="none"/>
        </w:rPr>
        <w:t>山洪灾害防治项目可将项目区内因山洪灾害造成的经济损失降至最低</w:t>
      </w:r>
      <w:r>
        <w:rPr>
          <w:rFonts w:hint="eastAsia" w:ascii="仿宋_GB2312" w:hAnsi="Times New Roman"/>
          <w:color w:val="auto"/>
          <w:sz w:val="30"/>
          <w:szCs w:val="30"/>
          <w:highlight w:val="none"/>
          <w:lang w:eastAsia="zh-CN"/>
        </w:rPr>
        <w:t>；国有</w:t>
      </w:r>
      <w:r>
        <w:rPr>
          <w:rFonts w:hint="eastAsia" w:ascii="仿宋_GB2312" w:hAnsi="Times New Roman"/>
          <w:color w:val="auto"/>
          <w:sz w:val="30"/>
          <w:szCs w:val="30"/>
          <w:highlight w:val="none"/>
        </w:rPr>
        <w:t>公益性工程维修养护项目可使已建水利项目发挥灌溉、供水、防洪等应有的效益</w:t>
      </w:r>
      <w:r>
        <w:rPr>
          <w:rFonts w:hint="eastAsia" w:ascii="仿宋_GB2312" w:hAnsi="Times New Roman"/>
          <w:color w:val="auto"/>
          <w:sz w:val="30"/>
          <w:szCs w:val="30"/>
          <w:highlight w:val="none"/>
          <w:lang w:val="en-US" w:eastAsia="zh-CN"/>
        </w:rPr>
        <w:t>。</w:t>
      </w:r>
    </w:p>
    <w:p>
      <w:pPr>
        <w:pageBreakBefore w:val="0"/>
        <w:widowControl w:val="0"/>
        <w:numPr>
          <w:ilvl w:val="0"/>
          <w:numId w:val="2"/>
        </w:numPr>
        <w:kinsoku/>
        <w:wordWrap/>
        <w:overflowPunct/>
        <w:topLinePunct w:val="0"/>
        <w:autoSpaceDE/>
        <w:autoSpaceDN/>
        <w:bidi w:val="0"/>
        <w:adjustRightInd/>
        <w:snapToGrid/>
        <w:spacing w:line="580" w:lineRule="exact"/>
        <w:ind w:left="0" w:leftChars="0" w:firstLine="640" w:firstLineChars="200"/>
        <w:textAlignment w:val="auto"/>
        <w:rPr>
          <w:rFonts w:hint="eastAsia" w:cs="Times New Roman"/>
          <w:color w:val="auto"/>
          <w:sz w:val="32"/>
        </w:rPr>
      </w:pPr>
      <w:r>
        <w:rPr>
          <w:rFonts w:hint="eastAsia" w:cs="Times New Roman"/>
          <w:color w:val="auto"/>
          <w:sz w:val="32"/>
        </w:rPr>
        <w:t>项目实施的社会效益分析</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highlight w:val="none"/>
        </w:rPr>
      </w:pPr>
      <w:r>
        <w:rPr>
          <w:rFonts w:hint="eastAsia" w:ascii="仿宋_GB2312" w:hAnsi="Times New Roman"/>
          <w:color w:val="auto"/>
          <w:sz w:val="30"/>
          <w:szCs w:val="30"/>
          <w:highlight w:val="none"/>
        </w:rPr>
        <w:t>水土保持工程建设实施后，为保护区内人民群众营造更好的生产生活条件，在为当地的农业和经济发展保驾护航的同时，也对我</w:t>
      </w:r>
      <w:r>
        <w:rPr>
          <w:rFonts w:hint="eastAsia" w:ascii="仿宋_GB2312" w:hAnsi="Times New Roman"/>
          <w:color w:val="auto"/>
          <w:sz w:val="30"/>
          <w:szCs w:val="30"/>
          <w:highlight w:val="none"/>
          <w:lang w:eastAsia="zh-CN"/>
        </w:rPr>
        <w:t>县</w:t>
      </w:r>
      <w:r>
        <w:rPr>
          <w:rFonts w:hint="eastAsia" w:ascii="仿宋_GB2312" w:hAnsi="Times New Roman"/>
          <w:color w:val="auto"/>
          <w:sz w:val="30"/>
          <w:szCs w:val="30"/>
          <w:highlight w:val="none"/>
        </w:rPr>
        <w:t>社会稳定直到了积极的推动作用</w:t>
      </w:r>
      <w:r>
        <w:rPr>
          <w:rFonts w:hint="eastAsia" w:ascii="仿宋_GB2312" w:hAnsi="Times New Roman"/>
          <w:color w:val="auto"/>
          <w:sz w:val="30"/>
          <w:szCs w:val="30"/>
          <w:highlight w:val="none"/>
          <w:lang w:val="en-US" w:eastAsia="zh-CN"/>
        </w:rPr>
        <w:t>。</w:t>
      </w:r>
    </w:p>
    <w:p>
      <w:pPr>
        <w:pageBreakBefore w:val="0"/>
        <w:widowControl w:val="0"/>
        <w:numPr>
          <w:ilvl w:val="0"/>
          <w:numId w:val="2"/>
        </w:numPr>
        <w:kinsoku/>
        <w:wordWrap/>
        <w:overflowPunct/>
        <w:topLinePunct w:val="0"/>
        <w:autoSpaceDE/>
        <w:autoSpaceDN/>
        <w:bidi w:val="0"/>
        <w:adjustRightInd/>
        <w:snapToGrid/>
        <w:spacing w:line="580" w:lineRule="exact"/>
        <w:ind w:left="0" w:leftChars="0" w:firstLine="640" w:firstLineChars="200"/>
        <w:textAlignment w:val="auto"/>
        <w:rPr>
          <w:rFonts w:hint="eastAsia" w:cs="Times New Roman"/>
          <w:color w:val="auto"/>
          <w:sz w:val="32"/>
        </w:rPr>
      </w:pPr>
      <w:r>
        <w:rPr>
          <w:rFonts w:hint="eastAsia" w:cs="Times New Roman"/>
          <w:color w:val="auto"/>
          <w:sz w:val="32"/>
        </w:rPr>
        <w:t>项目实施的生态效益分析</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highlight w:val="none"/>
        </w:rPr>
      </w:pPr>
      <w:r>
        <w:rPr>
          <w:rFonts w:hint="eastAsia" w:ascii="仿宋_GB2312" w:hAnsi="Times New Roman"/>
          <w:color w:val="auto"/>
          <w:sz w:val="30"/>
          <w:szCs w:val="30"/>
          <w:highlight w:val="none"/>
        </w:rPr>
        <w:t>随着水土保持工程建设项目设计理念的不断提升，</w:t>
      </w:r>
      <w:r>
        <w:rPr>
          <w:rFonts w:hint="eastAsia" w:ascii="仿宋_GB2312"/>
          <w:color w:val="auto"/>
          <w:sz w:val="30"/>
          <w:szCs w:val="30"/>
          <w:highlight w:val="none"/>
          <w:lang w:eastAsia="zh-CN"/>
        </w:rPr>
        <w:t>水土流失现象减少，有力保障了项目区内居民的生产生活</w:t>
      </w:r>
      <w:r>
        <w:rPr>
          <w:rFonts w:hint="eastAsia" w:ascii="仿宋_GB2312" w:hAnsi="Times New Roman"/>
          <w:color w:val="auto"/>
          <w:sz w:val="30"/>
          <w:szCs w:val="30"/>
          <w:highlight w:val="none"/>
        </w:rPr>
        <w:t>，对区域内生态环境的恢复与保护也有着积极的意义和作用。</w:t>
      </w:r>
    </w:p>
    <w:p>
      <w:pPr>
        <w:pageBreakBefore w:val="0"/>
        <w:widowControl w:val="0"/>
        <w:numPr>
          <w:ilvl w:val="0"/>
          <w:numId w:val="2"/>
        </w:numPr>
        <w:kinsoku/>
        <w:wordWrap/>
        <w:overflowPunct/>
        <w:topLinePunct w:val="0"/>
        <w:autoSpaceDE/>
        <w:autoSpaceDN/>
        <w:bidi w:val="0"/>
        <w:adjustRightInd/>
        <w:snapToGrid/>
        <w:spacing w:line="580" w:lineRule="exact"/>
        <w:ind w:left="0" w:leftChars="0" w:firstLine="640" w:firstLineChars="200"/>
        <w:textAlignment w:val="auto"/>
        <w:rPr>
          <w:rFonts w:hint="eastAsia" w:cs="Times New Roman"/>
          <w:color w:val="auto"/>
          <w:sz w:val="32"/>
        </w:rPr>
      </w:pPr>
      <w:r>
        <w:rPr>
          <w:rFonts w:hint="eastAsia" w:cs="Times New Roman"/>
          <w:color w:val="auto"/>
          <w:sz w:val="32"/>
        </w:rPr>
        <w:t>项目实施的可持续影响分析</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highlight w:val="none"/>
        </w:rPr>
      </w:pPr>
      <w:r>
        <w:rPr>
          <w:rFonts w:hint="eastAsia" w:ascii="仿宋_GB2312" w:hAnsi="Times New Roman"/>
          <w:color w:val="auto"/>
          <w:sz w:val="30"/>
          <w:szCs w:val="30"/>
          <w:highlight w:val="none"/>
          <w:lang w:eastAsia="zh-CN"/>
        </w:rPr>
        <w:t>已建的水土保持工程建设、山洪灾害防治、国有公益性维养项目</w:t>
      </w:r>
      <w:r>
        <w:rPr>
          <w:rFonts w:hint="eastAsia" w:ascii="仿宋_GB2312"/>
          <w:color w:val="auto"/>
          <w:sz w:val="30"/>
          <w:szCs w:val="30"/>
          <w:highlight w:val="none"/>
          <w:lang w:eastAsia="zh-CN"/>
        </w:rPr>
        <w:t>、水价综合改革</w:t>
      </w:r>
      <w:r>
        <w:rPr>
          <w:rFonts w:hint="eastAsia" w:ascii="仿宋_GB2312" w:hAnsi="Times New Roman"/>
          <w:color w:val="auto"/>
          <w:sz w:val="30"/>
          <w:szCs w:val="30"/>
          <w:highlight w:val="none"/>
          <w:lang w:eastAsia="zh-CN"/>
        </w:rPr>
        <w:t>运行良好，能充分发挥工程效益，均达到了工程设计使用年限要求。</w:t>
      </w:r>
    </w:p>
    <w:p>
      <w:pPr>
        <w:pStyle w:val="3"/>
        <w:pageBreakBefore w:val="0"/>
        <w:widowControl w:val="0"/>
        <w:kinsoku/>
        <w:wordWrap/>
        <w:overflowPunct/>
        <w:topLinePunct w:val="0"/>
        <w:autoSpaceDE/>
        <w:autoSpaceDN/>
        <w:bidi w:val="0"/>
        <w:adjustRightInd/>
        <w:snapToGrid/>
        <w:spacing w:line="58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（五）满意度指标完成情况分析</w:t>
      </w:r>
    </w:p>
    <w:p>
      <w:pPr>
        <w:pageBreakBefore w:val="0"/>
        <w:kinsoku/>
        <w:wordWrap/>
        <w:overflowPunct/>
        <w:topLinePunct w:val="0"/>
        <w:autoSpaceDE/>
        <w:autoSpaceDN/>
        <w:bidi w:val="0"/>
        <w:adjustRightInd/>
        <w:snapToGrid/>
        <w:spacing w:line="580" w:lineRule="exact"/>
        <w:ind w:firstLine="600" w:firstLineChars="200"/>
        <w:textAlignment w:val="auto"/>
        <w:rPr>
          <w:rFonts w:cs="Times New Roman"/>
          <w:color w:val="FF0000"/>
        </w:rPr>
      </w:pPr>
      <w:r>
        <w:rPr>
          <w:rFonts w:hint="eastAsia" w:ascii="仿宋_GB2312" w:hAnsi="Times New Roman"/>
          <w:color w:val="auto"/>
          <w:sz w:val="30"/>
          <w:szCs w:val="30"/>
          <w:lang w:eastAsia="zh-CN"/>
        </w:rPr>
        <w:t>为了解受益群众对项目建设的满意程度，我县水利局以随机发放调查问卷的方式对各类项目进行用户满意度调查。从问卷调查统计结果看，受益群众对201</w:t>
      </w:r>
      <w:r>
        <w:rPr>
          <w:rFonts w:hint="eastAsia" w:ascii="仿宋_GB2312" w:hAnsi="Times New Roman"/>
          <w:color w:val="auto"/>
          <w:sz w:val="30"/>
          <w:szCs w:val="30"/>
          <w:lang w:val="en-US" w:eastAsia="zh-CN"/>
        </w:rPr>
        <w:t>8</w:t>
      </w:r>
      <w:r>
        <w:rPr>
          <w:rFonts w:hint="eastAsia" w:ascii="仿宋_GB2312" w:hAnsi="Times New Roman"/>
          <w:color w:val="auto"/>
          <w:sz w:val="30"/>
          <w:szCs w:val="30"/>
          <w:lang w:eastAsia="zh-CN"/>
        </w:rPr>
        <w:t>年度的水利项目满意度均高于90%。</w:t>
      </w:r>
    </w:p>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rPr>
      </w:pPr>
      <w:r>
        <w:rPr>
          <w:rFonts w:cs="Times New Roman"/>
          <w:color w:val="auto"/>
        </w:rPr>
        <w:t>表3</w:t>
      </w:r>
      <w:r>
        <w:rPr>
          <w:rFonts w:hint="eastAsia" w:cs="Times New Roman"/>
          <w:color w:val="auto"/>
        </w:rPr>
        <w:t>-</w:t>
      </w:r>
      <w:r>
        <w:rPr>
          <w:rFonts w:cs="Times New Roman"/>
          <w:color w:val="auto"/>
        </w:rPr>
        <w:t xml:space="preserve">4 </w:t>
      </w:r>
      <w:r>
        <w:rPr>
          <w:rFonts w:hint="eastAsia" w:cs="Times New Roman"/>
          <w:color w:val="auto"/>
        </w:rPr>
        <w:t>项目实施满意度调查情况汇总表</w:t>
      </w:r>
    </w:p>
    <w:tbl>
      <w:tblPr>
        <w:tblStyle w:val="7"/>
        <w:tblW w:w="8522" w:type="dxa"/>
        <w:tblInd w:w="0" w:type="dxa"/>
        <w:tblLayout w:type="fixed"/>
        <w:tblCellMar>
          <w:top w:w="0" w:type="dxa"/>
          <w:left w:w="108" w:type="dxa"/>
          <w:bottom w:w="0" w:type="dxa"/>
          <w:right w:w="108" w:type="dxa"/>
        </w:tblCellMar>
      </w:tblPr>
      <w:tblGrid>
        <w:gridCol w:w="2337"/>
        <w:gridCol w:w="2609"/>
        <w:gridCol w:w="1998"/>
        <w:gridCol w:w="1578"/>
      </w:tblGrid>
      <w:tr>
        <w:tblPrEx>
          <w:tblLayout w:type="fixed"/>
          <w:tblCellMar>
            <w:top w:w="0" w:type="dxa"/>
            <w:left w:w="108" w:type="dxa"/>
            <w:bottom w:w="0" w:type="dxa"/>
            <w:right w:w="108" w:type="dxa"/>
          </w:tblCellMar>
        </w:tblPrEx>
        <w:trPr>
          <w:trHeight w:val="480" w:hRule="atLeast"/>
          <w:tblHeader/>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hint="eastAsia" w:cs="Times New Roman"/>
                <w:color w:val="auto"/>
                <w:kern w:val="0"/>
                <w:sz w:val="20"/>
                <w:szCs w:val="20"/>
              </w:rPr>
              <w:t>项目分类</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cs="Times New Roman"/>
                <w:color w:val="auto"/>
                <w:kern w:val="0"/>
                <w:sz w:val="20"/>
                <w:szCs w:val="20"/>
              </w:rPr>
              <w:t>调查问卷数（份）</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cs="Times New Roman"/>
                <w:color w:val="auto"/>
                <w:kern w:val="0"/>
                <w:sz w:val="20"/>
                <w:szCs w:val="20"/>
              </w:rPr>
              <w:t>平均满意度（分）</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cs="Times New Roman"/>
                <w:color w:val="auto"/>
                <w:kern w:val="0"/>
                <w:sz w:val="20"/>
                <w:szCs w:val="20"/>
              </w:rPr>
              <w:t>备注</w:t>
            </w:r>
          </w:p>
        </w:tc>
      </w:tr>
      <w:tr>
        <w:tblPrEx>
          <w:tblLayout w:type="fixed"/>
          <w:tblCellMar>
            <w:top w:w="0" w:type="dxa"/>
            <w:left w:w="108" w:type="dxa"/>
            <w:bottom w:w="0" w:type="dxa"/>
            <w:right w:w="108" w:type="dxa"/>
          </w:tblCellMar>
        </w:tblPrEx>
        <w:trPr>
          <w:trHeight w:val="288" w:hRule="atLeast"/>
        </w:trPr>
        <w:tc>
          <w:tcPr>
            <w:tcW w:w="2337" w:type="dxa"/>
            <w:tcBorders>
              <w:top w:val="nil"/>
              <w:left w:val="single" w:color="auto" w:sz="4" w:space="0"/>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cs="Times New Roman"/>
                <w:color w:val="auto"/>
                <w:kern w:val="0"/>
                <w:sz w:val="20"/>
                <w:szCs w:val="20"/>
              </w:rPr>
              <w:t>合计</w:t>
            </w:r>
          </w:p>
        </w:tc>
        <w:tc>
          <w:tcPr>
            <w:tcW w:w="2609"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110</w:t>
            </w:r>
          </w:p>
        </w:tc>
        <w:tc>
          <w:tcPr>
            <w:tcW w:w="199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97.8</w:t>
            </w:r>
          </w:p>
        </w:tc>
        <w:tc>
          <w:tcPr>
            <w:tcW w:w="157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p>
        </w:tc>
      </w:tr>
      <w:tr>
        <w:tblPrEx>
          <w:tblLayout w:type="fixed"/>
          <w:tblCellMar>
            <w:top w:w="0" w:type="dxa"/>
            <w:left w:w="108" w:type="dxa"/>
            <w:bottom w:w="0" w:type="dxa"/>
            <w:right w:w="108" w:type="dxa"/>
          </w:tblCellMar>
        </w:tblPrEx>
        <w:trPr>
          <w:trHeight w:val="288" w:hRule="atLeast"/>
        </w:trPr>
        <w:tc>
          <w:tcPr>
            <w:tcW w:w="2337" w:type="dxa"/>
            <w:tcBorders>
              <w:top w:val="nil"/>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highlight w:val="none"/>
              </w:rPr>
              <w:t>水土保持工程建设</w:t>
            </w:r>
          </w:p>
        </w:tc>
        <w:tc>
          <w:tcPr>
            <w:tcW w:w="2609"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20</w:t>
            </w:r>
          </w:p>
        </w:tc>
        <w:tc>
          <w:tcPr>
            <w:tcW w:w="199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98</w:t>
            </w:r>
          </w:p>
        </w:tc>
        <w:tc>
          <w:tcPr>
            <w:tcW w:w="157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p>
        </w:tc>
      </w:tr>
      <w:tr>
        <w:tblPrEx>
          <w:tblLayout w:type="fixed"/>
          <w:tblCellMar>
            <w:top w:w="0" w:type="dxa"/>
            <w:left w:w="108" w:type="dxa"/>
            <w:bottom w:w="0" w:type="dxa"/>
            <w:right w:w="108" w:type="dxa"/>
          </w:tblCellMar>
        </w:tblPrEx>
        <w:trPr>
          <w:trHeight w:val="288" w:hRule="atLeast"/>
        </w:trPr>
        <w:tc>
          <w:tcPr>
            <w:tcW w:w="2337" w:type="dxa"/>
            <w:tcBorders>
              <w:top w:val="nil"/>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cs="Times New Roman"/>
                <w:color w:val="auto"/>
                <w:kern w:val="0"/>
                <w:sz w:val="20"/>
                <w:szCs w:val="20"/>
                <w:highlight w:val="none"/>
              </w:rPr>
              <w:t>山洪灾害防治</w:t>
            </w:r>
          </w:p>
        </w:tc>
        <w:tc>
          <w:tcPr>
            <w:tcW w:w="2609"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20</w:t>
            </w:r>
          </w:p>
        </w:tc>
        <w:tc>
          <w:tcPr>
            <w:tcW w:w="199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97</w:t>
            </w:r>
          </w:p>
        </w:tc>
        <w:tc>
          <w:tcPr>
            <w:tcW w:w="157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p>
        </w:tc>
      </w:tr>
      <w:tr>
        <w:tblPrEx>
          <w:tblLayout w:type="fixed"/>
          <w:tblCellMar>
            <w:top w:w="0" w:type="dxa"/>
            <w:left w:w="108" w:type="dxa"/>
            <w:bottom w:w="0" w:type="dxa"/>
            <w:right w:w="108" w:type="dxa"/>
          </w:tblCellMar>
        </w:tblPrEx>
        <w:trPr>
          <w:trHeight w:val="288" w:hRule="atLeast"/>
        </w:trPr>
        <w:tc>
          <w:tcPr>
            <w:tcW w:w="2337" w:type="dxa"/>
            <w:tcBorders>
              <w:top w:val="nil"/>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cs="Times New Roman"/>
                <w:color w:val="auto"/>
                <w:kern w:val="0"/>
                <w:sz w:val="22"/>
              </w:rPr>
            </w:pPr>
            <w:r>
              <w:rPr>
                <w:rFonts w:hint="eastAsia" w:cs="Times New Roman"/>
                <w:color w:val="auto"/>
                <w:kern w:val="0"/>
                <w:sz w:val="18"/>
                <w:szCs w:val="18"/>
                <w:highlight w:val="none"/>
                <w:lang w:eastAsia="zh-CN"/>
              </w:rPr>
              <w:t>水利工程维修养护</w:t>
            </w:r>
          </w:p>
        </w:tc>
        <w:tc>
          <w:tcPr>
            <w:tcW w:w="2609"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none"/>
                <w:lang w:val="en-US" w:eastAsia="zh-CN"/>
              </w:rPr>
            </w:pPr>
            <w:r>
              <w:rPr>
                <w:rFonts w:hint="eastAsia" w:cs="Times New Roman"/>
                <w:color w:val="FF0000"/>
                <w:kern w:val="0"/>
                <w:sz w:val="22"/>
                <w:highlight w:val="none"/>
                <w:lang w:val="en-US" w:eastAsia="zh-CN"/>
              </w:rPr>
              <w:t>40</w:t>
            </w:r>
          </w:p>
        </w:tc>
        <w:tc>
          <w:tcPr>
            <w:tcW w:w="199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none"/>
                <w:lang w:val="en-US" w:eastAsia="zh-CN"/>
              </w:rPr>
            </w:pPr>
            <w:r>
              <w:rPr>
                <w:rFonts w:hint="eastAsia" w:cs="Times New Roman"/>
                <w:color w:val="auto"/>
                <w:kern w:val="0"/>
                <w:sz w:val="22"/>
                <w:highlight w:val="none"/>
                <w:lang w:val="en-US" w:eastAsia="zh-CN"/>
              </w:rPr>
              <w:t>99</w:t>
            </w:r>
          </w:p>
        </w:tc>
        <w:tc>
          <w:tcPr>
            <w:tcW w:w="157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r>
        <w:tblPrEx>
          <w:tblLayout w:type="fixed"/>
          <w:tblCellMar>
            <w:top w:w="0" w:type="dxa"/>
            <w:left w:w="108" w:type="dxa"/>
            <w:bottom w:w="0" w:type="dxa"/>
            <w:right w:w="108" w:type="dxa"/>
          </w:tblCellMar>
        </w:tblPrEx>
        <w:trPr>
          <w:trHeight w:val="288" w:hRule="atLeast"/>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cs="Times New Roman"/>
                <w:color w:val="auto"/>
                <w:kern w:val="0"/>
                <w:sz w:val="22"/>
              </w:rPr>
            </w:pPr>
            <w:r>
              <w:rPr>
                <w:rFonts w:hint="eastAsia" w:cs="Times New Roman"/>
                <w:color w:val="auto"/>
                <w:kern w:val="0"/>
                <w:sz w:val="20"/>
                <w:szCs w:val="20"/>
                <w:highlight w:val="none"/>
                <w:lang w:eastAsia="zh-CN"/>
              </w:rPr>
              <w:t>农业水价综合改革</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none"/>
                <w:lang w:val="en-US" w:eastAsia="zh-CN"/>
              </w:rPr>
            </w:pPr>
            <w:r>
              <w:rPr>
                <w:rFonts w:hint="eastAsia" w:cs="Times New Roman"/>
                <w:color w:val="auto"/>
                <w:kern w:val="0"/>
                <w:sz w:val="22"/>
                <w:highlight w:val="none"/>
                <w:lang w:val="en-US" w:eastAsia="zh-CN"/>
              </w:rPr>
              <w:t>30</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none"/>
                <w:lang w:val="en-US" w:eastAsia="zh-CN"/>
              </w:rPr>
            </w:pPr>
            <w:r>
              <w:rPr>
                <w:rFonts w:hint="eastAsia" w:cs="Times New Roman"/>
                <w:color w:val="auto"/>
                <w:kern w:val="0"/>
                <w:sz w:val="22"/>
                <w:highlight w:val="none"/>
                <w:lang w:val="en-US" w:eastAsia="zh-CN"/>
              </w:rPr>
              <w:t>97</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r>
        <w:tblPrEx>
          <w:tblLayout w:type="fixed"/>
          <w:tblCellMar>
            <w:top w:w="0" w:type="dxa"/>
            <w:left w:w="108" w:type="dxa"/>
            <w:bottom w:w="0" w:type="dxa"/>
            <w:right w:w="108" w:type="dxa"/>
          </w:tblCellMar>
        </w:tblPrEx>
        <w:trPr>
          <w:trHeight w:val="288" w:hRule="atLeast"/>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cs="Times New Roman"/>
                <w:color w:val="auto"/>
                <w:kern w:val="0"/>
                <w:sz w:val="22"/>
              </w:rPr>
            </w:pPr>
            <w:r>
              <w:rPr>
                <w:rFonts w:hint="eastAsia" w:cs="Times New Roman"/>
                <w:color w:val="auto"/>
                <w:kern w:val="0"/>
                <w:sz w:val="20"/>
                <w:szCs w:val="20"/>
                <w:highlight w:val="none"/>
                <w:lang w:eastAsia="zh-CN"/>
              </w:rPr>
              <w:t>河长制建设</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green"/>
                <w:lang w:val="en-US" w:eastAsia="zh-CN"/>
              </w:rPr>
            </w:pPr>
            <w:r>
              <w:rPr>
                <w:rFonts w:hint="eastAsia" w:cs="Times New Roman"/>
                <w:color w:val="auto"/>
                <w:kern w:val="0"/>
                <w:sz w:val="22"/>
                <w:highlight w:val="none"/>
                <w:lang w:val="en-US" w:eastAsia="zh-CN"/>
              </w:rPr>
              <w:t>20</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green"/>
                <w:lang w:val="en-US" w:eastAsia="zh-CN"/>
              </w:rPr>
            </w:pPr>
            <w:r>
              <w:rPr>
                <w:rFonts w:hint="eastAsia" w:cs="Times New Roman"/>
                <w:color w:val="auto"/>
                <w:kern w:val="0"/>
                <w:sz w:val="22"/>
                <w:highlight w:val="none"/>
                <w:lang w:val="en-US" w:eastAsia="zh-CN"/>
              </w:rPr>
              <w:t>98</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bl>
    <w:p>
      <w:pPr>
        <w:pStyle w:val="2"/>
        <w:pageBreakBefore w:val="0"/>
        <w:widowControl w:val="0"/>
        <w:numPr>
          <w:ilvl w:val="0"/>
          <w:numId w:val="3"/>
        </w:numPr>
        <w:kinsoku/>
        <w:wordWrap/>
        <w:overflowPunct/>
        <w:topLinePunct w:val="0"/>
        <w:autoSpaceDE/>
        <w:autoSpaceDN/>
        <w:bidi w:val="0"/>
        <w:adjustRightInd/>
        <w:snapToGrid/>
        <w:spacing w:line="580" w:lineRule="exact"/>
        <w:ind w:firstLine="640"/>
        <w:textAlignment w:val="auto"/>
        <w:rPr>
          <w:rFonts w:hint="eastAsia"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偏离绩效目标原因和下一步改进措施</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lang w:val="en-US" w:eastAsia="zh-CN"/>
        </w:rPr>
      </w:pPr>
      <w:r>
        <w:rPr>
          <w:rFonts w:hint="eastAsia" w:ascii="仿宋_GB2312" w:hAnsi="Times New Roman"/>
          <w:color w:val="auto"/>
          <w:sz w:val="30"/>
          <w:szCs w:val="30"/>
          <w:lang w:val="en-US" w:eastAsia="zh-CN"/>
        </w:rPr>
        <w:t>我县2018年度中央水利发展资金项目绩效目标已在各单位、各部门的顺利配合、协作下完成。</w:t>
      </w:r>
    </w:p>
    <w:p>
      <w:pPr>
        <w:pStyle w:val="2"/>
        <w:pageBreakBefore w:val="0"/>
        <w:widowControl w:val="0"/>
        <w:kinsoku/>
        <w:wordWrap/>
        <w:overflowPunct/>
        <w:topLinePunct w:val="0"/>
        <w:autoSpaceDE/>
        <w:autoSpaceDN/>
        <w:bidi w:val="0"/>
        <w:adjustRightInd/>
        <w:snapToGrid/>
        <w:spacing w:line="580" w:lineRule="exact"/>
        <w:ind w:firstLine="640"/>
        <w:textAlignment w:val="auto"/>
        <w:rPr>
          <w:rFonts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五、综合评价结论</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lang w:val="en-US" w:eastAsia="zh-CN"/>
        </w:rPr>
      </w:pPr>
      <w:r>
        <w:rPr>
          <w:rFonts w:hint="eastAsia" w:ascii="仿宋_GB2312" w:hAnsi="Times New Roman"/>
          <w:color w:val="auto"/>
          <w:sz w:val="30"/>
          <w:szCs w:val="30"/>
          <w:lang w:val="en-US" w:eastAsia="zh-CN"/>
        </w:rPr>
        <w:t>我县绩效自评得分为：</w:t>
      </w:r>
      <w:r>
        <w:rPr>
          <w:rFonts w:hint="eastAsia" w:ascii="仿宋_GB2312"/>
          <w:color w:val="auto"/>
          <w:sz w:val="30"/>
          <w:szCs w:val="30"/>
          <w:lang w:val="en-US" w:eastAsia="zh-CN"/>
        </w:rPr>
        <w:t>100</w:t>
      </w:r>
      <w:r>
        <w:rPr>
          <w:rFonts w:hint="eastAsia" w:ascii="仿宋_GB2312" w:hAnsi="Times New Roman"/>
          <w:color w:val="auto"/>
          <w:sz w:val="30"/>
          <w:szCs w:val="30"/>
          <w:lang w:val="en-US" w:eastAsia="zh-CN"/>
        </w:rPr>
        <w:t>分，项目建设严格按相应规章制度执行，2018年度项目绩效目标全部完成；中央水利发展资金到位率100%，配套省级资金到位率100%，项目资金完成率100%，资金严格按照中央、省、市县出台的项目资金管理办法，实行专款专用、国库集中支付；项目实施成效按预期充分发挥效益。</w:t>
      </w:r>
    </w:p>
    <w:p>
      <w:pPr>
        <w:pStyle w:val="2"/>
        <w:pageBreakBefore w:val="0"/>
        <w:widowControl w:val="0"/>
        <w:kinsoku/>
        <w:wordWrap/>
        <w:overflowPunct/>
        <w:topLinePunct w:val="0"/>
        <w:autoSpaceDE/>
        <w:autoSpaceDN/>
        <w:bidi w:val="0"/>
        <w:adjustRightInd/>
        <w:snapToGrid/>
        <w:spacing w:line="580" w:lineRule="exact"/>
        <w:ind w:firstLine="640"/>
        <w:textAlignment w:val="auto"/>
        <w:rPr>
          <w:rFonts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六、经验、问题和建议</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lang w:val="en-US" w:eastAsia="zh-CN"/>
        </w:rPr>
      </w:pPr>
      <w:r>
        <w:rPr>
          <w:rFonts w:hint="eastAsia" w:ascii="仿宋_GB2312" w:hAnsi="Times New Roman"/>
          <w:color w:val="auto"/>
          <w:sz w:val="30"/>
          <w:szCs w:val="30"/>
          <w:lang w:val="en-US" w:eastAsia="zh-CN"/>
        </w:rPr>
        <w:t>基层水利管理人员专业技术能力相对较弱，对政策理解存在不到位的情况，绩效考核指标又相对较多，指标解释相对较为简单，建议进一步完善绩效评估指标体系，优化评估流程，加强绩效考核体系及相关政策的培训。另外绩效评价时间紧，任务重，难以达到高质量要求。</w:t>
      </w:r>
    </w:p>
    <w:p>
      <w:pPr>
        <w:pStyle w:val="2"/>
        <w:pageBreakBefore w:val="0"/>
        <w:widowControl w:val="0"/>
        <w:kinsoku/>
        <w:wordWrap/>
        <w:overflowPunct/>
        <w:topLinePunct w:val="0"/>
        <w:autoSpaceDE/>
        <w:autoSpaceDN/>
        <w:bidi w:val="0"/>
        <w:adjustRightInd/>
        <w:snapToGrid/>
        <w:spacing w:line="580" w:lineRule="exact"/>
        <w:ind w:firstLine="640"/>
        <w:textAlignment w:val="auto"/>
        <w:rPr>
          <w:rFonts w:ascii="黑体" w:hAnsi="黑体" w:eastAsia="黑体" w:cs="Times New Roman"/>
          <w:b w:val="0"/>
          <w:bCs w:val="0"/>
          <w:color w:val="auto"/>
          <w:sz w:val="32"/>
          <w:szCs w:val="32"/>
        </w:rPr>
      </w:pPr>
      <w:r>
        <w:rPr>
          <w:rFonts w:hint="eastAsia" w:ascii="黑体" w:hAnsi="黑体" w:eastAsia="黑体"/>
          <w:b w:val="0"/>
          <w:bCs w:val="0"/>
          <w:color w:val="auto"/>
          <w:sz w:val="32"/>
          <w:szCs w:val="32"/>
        </w:rPr>
        <w:t>七、</w:t>
      </w:r>
      <w:r>
        <w:rPr>
          <w:rFonts w:hint="eastAsia" w:ascii="黑体" w:hAnsi="黑体" w:eastAsia="黑体" w:cs="Times New Roman"/>
          <w:b w:val="0"/>
          <w:bCs w:val="0"/>
          <w:color w:val="auto"/>
          <w:sz w:val="32"/>
          <w:szCs w:val="32"/>
        </w:rPr>
        <w:t>绩效评价结果拟应用和公开情况</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lang w:val="en-US" w:eastAsia="zh-CN"/>
        </w:rPr>
      </w:pPr>
      <w:r>
        <w:rPr>
          <w:rFonts w:hint="eastAsia" w:ascii="仿宋_GB2312" w:hAnsi="Times New Roman"/>
          <w:color w:val="auto"/>
          <w:sz w:val="30"/>
          <w:szCs w:val="30"/>
          <w:lang w:val="en-US" w:eastAsia="zh-CN"/>
        </w:rPr>
        <w:t>将绩效评价结果作为年底考核的一项重要依据，并向县级以上财政、水利部门公开。</w:t>
      </w: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八、其他需说明的问题</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color w:val="auto"/>
          <w:sz w:val="32"/>
          <w:szCs w:val="32"/>
        </w:rPr>
      </w:pPr>
      <w:r>
        <w:rPr>
          <w:rFonts w:hint="eastAsia"/>
          <w:color w:val="auto"/>
          <w:sz w:val="32"/>
          <w:szCs w:val="32"/>
          <w:lang w:eastAsia="zh-CN"/>
        </w:rPr>
        <w:t>无</w:t>
      </w:r>
      <w:r>
        <w:rPr>
          <w:rFonts w:hint="eastAsia"/>
          <w:color w:val="auto"/>
          <w:sz w:val="32"/>
          <w:szCs w:val="32"/>
        </w:rPr>
        <w:t>。</w:t>
      </w:r>
    </w:p>
    <w:p>
      <w:pPr>
        <w:pageBreakBefore w:val="0"/>
        <w:widowControl w:val="0"/>
        <w:kinsoku/>
        <w:wordWrap/>
        <w:overflowPunct/>
        <w:topLinePunct w:val="0"/>
        <w:autoSpaceDE/>
        <w:autoSpaceDN/>
        <w:bidi w:val="0"/>
        <w:adjustRightInd/>
        <w:snapToGrid/>
        <w:spacing w:line="560" w:lineRule="exact"/>
        <w:ind w:firstLine="640"/>
        <w:jc w:val="right"/>
        <w:textAlignment w:val="auto"/>
        <w:rPr>
          <w:rFonts w:hint="default" w:eastAsia="仿宋_GB2312"/>
          <w:color w:val="auto"/>
          <w:sz w:val="32"/>
          <w:szCs w:val="32"/>
          <w:lang w:val="en-US" w:eastAsia="zh-CN"/>
        </w:rPr>
      </w:pPr>
      <w:bookmarkStart w:id="0" w:name="_GoBack"/>
      <w:r>
        <w:rPr>
          <w:rFonts w:hint="eastAsia"/>
          <w:color w:val="auto"/>
          <w:sz w:val="32"/>
          <w:szCs w:val="32"/>
          <w:lang w:val="en-US" w:eastAsia="zh-CN"/>
        </w:rPr>
        <w:t>2019年6月19日</w:t>
      </w:r>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850" w:gutter="0"/>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018206"/>
    </w:sdtPr>
    <w:sdtEndPr>
      <w:rPr>
        <w:rFonts w:cs="Times New Roman"/>
        <w:sz w:val="20"/>
        <w:szCs w:val="20"/>
      </w:rPr>
    </w:sdtEndPr>
    <w:sdtContent>
      <w:p>
        <w:pPr>
          <w:pStyle w:val="5"/>
          <w:ind w:firstLine="0" w:firstLineChars="0"/>
          <w:jc w:val="center"/>
          <w:rPr>
            <w:rFonts w:cs="Times New Roman"/>
            <w:sz w:val="20"/>
            <w:szCs w:val="20"/>
          </w:rPr>
        </w:pPr>
        <w:r>
          <w:rPr>
            <w:rFonts w:cs="Times New Roman"/>
            <w:sz w:val="20"/>
            <w:szCs w:val="20"/>
          </w:rPr>
          <w:fldChar w:fldCharType="begin"/>
        </w:r>
        <w:r>
          <w:rPr>
            <w:rFonts w:cs="Times New Roman"/>
            <w:sz w:val="20"/>
            <w:szCs w:val="20"/>
          </w:rPr>
          <w:instrText xml:space="preserve">PAGE   \* MERGEFORMAT</w:instrText>
        </w:r>
        <w:r>
          <w:rPr>
            <w:rFonts w:cs="Times New Roman"/>
            <w:sz w:val="20"/>
            <w:szCs w:val="20"/>
          </w:rPr>
          <w:fldChar w:fldCharType="separate"/>
        </w:r>
        <w:r>
          <w:rPr>
            <w:rFonts w:cs="Times New Roman"/>
            <w:sz w:val="20"/>
            <w:szCs w:val="20"/>
            <w:lang w:val="zh-CN"/>
          </w:rPr>
          <w:t>1</w:t>
        </w:r>
        <w:r>
          <w:rPr>
            <w:rFonts w:cs="Times New Roman"/>
            <w:sz w:val="20"/>
            <w:szCs w:val="20"/>
          </w:rPr>
          <w:fldChar w:fldCharType="end"/>
        </w:r>
      </w:p>
    </w:sdtContent>
  </w:sdt>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020A98"/>
    <w:multiLevelType w:val="singleLevel"/>
    <w:tmpl w:val="9C020A98"/>
    <w:lvl w:ilvl="0" w:tentative="0">
      <w:start w:val="2"/>
      <w:numFmt w:val="decimal"/>
      <w:lvlText w:val="%1."/>
      <w:lvlJc w:val="left"/>
      <w:pPr>
        <w:tabs>
          <w:tab w:val="left" w:pos="312"/>
        </w:tabs>
      </w:pPr>
    </w:lvl>
  </w:abstractNum>
  <w:abstractNum w:abstractNumId="1">
    <w:nsid w:val="F30C2FA4"/>
    <w:multiLevelType w:val="singleLevel"/>
    <w:tmpl w:val="F30C2FA4"/>
    <w:lvl w:ilvl="0" w:tentative="0">
      <w:start w:val="1"/>
      <w:numFmt w:val="decimal"/>
      <w:lvlText w:val="%1."/>
      <w:lvlJc w:val="left"/>
      <w:pPr>
        <w:tabs>
          <w:tab w:val="left" w:pos="312"/>
        </w:tabs>
      </w:pPr>
    </w:lvl>
  </w:abstractNum>
  <w:abstractNum w:abstractNumId="2">
    <w:nsid w:val="6AAD8C45"/>
    <w:multiLevelType w:val="singleLevel"/>
    <w:tmpl w:val="6AAD8C4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6E08"/>
    <w:rsid w:val="00014CAD"/>
    <w:rsid w:val="000210E8"/>
    <w:rsid w:val="0003365D"/>
    <w:rsid w:val="000346DB"/>
    <w:rsid w:val="00055853"/>
    <w:rsid w:val="000575FB"/>
    <w:rsid w:val="000601F2"/>
    <w:rsid w:val="00064AA3"/>
    <w:rsid w:val="00083AE1"/>
    <w:rsid w:val="00086883"/>
    <w:rsid w:val="00090FC7"/>
    <w:rsid w:val="000C5C46"/>
    <w:rsid w:val="000D2F83"/>
    <w:rsid w:val="000D7AD7"/>
    <w:rsid w:val="000E07DD"/>
    <w:rsid w:val="00140681"/>
    <w:rsid w:val="0015018B"/>
    <w:rsid w:val="001859AF"/>
    <w:rsid w:val="001876C3"/>
    <w:rsid w:val="001A647E"/>
    <w:rsid w:val="001B6CC5"/>
    <w:rsid w:val="001C3C5B"/>
    <w:rsid w:val="00220EF5"/>
    <w:rsid w:val="00240DE9"/>
    <w:rsid w:val="0026291A"/>
    <w:rsid w:val="00286767"/>
    <w:rsid w:val="00293FF6"/>
    <w:rsid w:val="002C2938"/>
    <w:rsid w:val="002C750C"/>
    <w:rsid w:val="002D2F44"/>
    <w:rsid w:val="002D40FB"/>
    <w:rsid w:val="002E0512"/>
    <w:rsid w:val="002E70F3"/>
    <w:rsid w:val="002E76AF"/>
    <w:rsid w:val="002E7D52"/>
    <w:rsid w:val="00317A36"/>
    <w:rsid w:val="0032035E"/>
    <w:rsid w:val="00320AD9"/>
    <w:rsid w:val="00332111"/>
    <w:rsid w:val="00361597"/>
    <w:rsid w:val="003B77D6"/>
    <w:rsid w:val="0046647D"/>
    <w:rsid w:val="0047288E"/>
    <w:rsid w:val="00480286"/>
    <w:rsid w:val="00480D9A"/>
    <w:rsid w:val="004A0BFA"/>
    <w:rsid w:val="004A3DCD"/>
    <w:rsid w:val="004C4609"/>
    <w:rsid w:val="004C51DE"/>
    <w:rsid w:val="00511077"/>
    <w:rsid w:val="00513EA7"/>
    <w:rsid w:val="0051714F"/>
    <w:rsid w:val="00535F81"/>
    <w:rsid w:val="0054672D"/>
    <w:rsid w:val="00550698"/>
    <w:rsid w:val="00550F9D"/>
    <w:rsid w:val="00551F0F"/>
    <w:rsid w:val="00564C56"/>
    <w:rsid w:val="00584ADC"/>
    <w:rsid w:val="00595BED"/>
    <w:rsid w:val="005A3169"/>
    <w:rsid w:val="005B7454"/>
    <w:rsid w:val="005C0223"/>
    <w:rsid w:val="005D1171"/>
    <w:rsid w:val="005D2092"/>
    <w:rsid w:val="005D7D1C"/>
    <w:rsid w:val="005E2791"/>
    <w:rsid w:val="005E6875"/>
    <w:rsid w:val="005F2E5D"/>
    <w:rsid w:val="006201A8"/>
    <w:rsid w:val="00620628"/>
    <w:rsid w:val="0062081A"/>
    <w:rsid w:val="00624AE3"/>
    <w:rsid w:val="0065554D"/>
    <w:rsid w:val="006645D5"/>
    <w:rsid w:val="006866EF"/>
    <w:rsid w:val="006B4EEE"/>
    <w:rsid w:val="006D62D8"/>
    <w:rsid w:val="00720B2B"/>
    <w:rsid w:val="00725800"/>
    <w:rsid w:val="007455E6"/>
    <w:rsid w:val="00745C71"/>
    <w:rsid w:val="007470F9"/>
    <w:rsid w:val="00753B8B"/>
    <w:rsid w:val="00785ED6"/>
    <w:rsid w:val="0079311F"/>
    <w:rsid w:val="007A16CB"/>
    <w:rsid w:val="007B3836"/>
    <w:rsid w:val="007C5238"/>
    <w:rsid w:val="007D55DC"/>
    <w:rsid w:val="007D5885"/>
    <w:rsid w:val="00840BA7"/>
    <w:rsid w:val="008462F8"/>
    <w:rsid w:val="00863BE8"/>
    <w:rsid w:val="008804D7"/>
    <w:rsid w:val="0088423B"/>
    <w:rsid w:val="008907AC"/>
    <w:rsid w:val="008D30D3"/>
    <w:rsid w:val="009227F1"/>
    <w:rsid w:val="00924E67"/>
    <w:rsid w:val="009335F6"/>
    <w:rsid w:val="0097478E"/>
    <w:rsid w:val="00980EEE"/>
    <w:rsid w:val="00996576"/>
    <w:rsid w:val="009A6E08"/>
    <w:rsid w:val="009F3904"/>
    <w:rsid w:val="00A101DB"/>
    <w:rsid w:val="00A23B7E"/>
    <w:rsid w:val="00A23BB8"/>
    <w:rsid w:val="00A3771F"/>
    <w:rsid w:val="00A411D4"/>
    <w:rsid w:val="00A422CA"/>
    <w:rsid w:val="00A6003B"/>
    <w:rsid w:val="00A61DE0"/>
    <w:rsid w:val="00A7406F"/>
    <w:rsid w:val="00A9324C"/>
    <w:rsid w:val="00A95926"/>
    <w:rsid w:val="00AA5432"/>
    <w:rsid w:val="00AD6CF4"/>
    <w:rsid w:val="00AE6DAE"/>
    <w:rsid w:val="00B00FB1"/>
    <w:rsid w:val="00B01FF2"/>
    <w:rsid w:val="00B07DAB"/>
    <w:rsid w:val="00B30377"/>
    <w:rsid w:val="00B33A0E"/>
    <w:rsid w:val="00B37457"/>
    <w:rsid w:val="00B474BB"/>
    <w:rsid w:val="00B97A4A"/>
    <w:rsid w:val="00BA2FDB"/>
    <w:rsid w:val="00BC02B7"/>
    <w:rsid w:val="00BC16B7"/>
    <w:rsid w:val="00BD0B3A"/>
    <w:rsid w:val="00BD3D72"/>
    <w:rsid w:val="00BF3C9D"/>
    <w:rsid w:val="00BF781C"/>
    <w:rsid w:val="00C16307"/>
    <w:rsid w:val="00C168F3"/>
    <w:rsid w:val="00C21900"/>
    <w:rsid w:val="00C570C4"/>
    <w:rsid w:val="00C717FA"/>
    <w:rsid w:val="00C752CF"/>
    <w:rsid w:val="00CA2315"/>
    <w:rsid w:val="00CA635E"/>
    <w:rsid w:val="00CC295C"/>
    <w:rsid w:val="00CD6421"/>
    <w:rsid w:val="00D04052"/>
    <w:rsid w:val="00D1438F"/>
    <w:rsid w:val="00D74B44"/>
    <w:rsid w:val="00D74C86"/>
    <w:rsid w:val="00D81027"/>
    <w:rsid w:val="00D814D9"/>
    <w:rsid w:val="00D85338"/>
    <w:rsid w:val="00D86267"/>
    <w:rsid w:val="00D9111D"/>
    <w:rsid w:val="00D979D1"/>
    <w:rsid w:val="00DC3D04"/>
    <w:rsid w:val="00DD476D"/>
    <w:rsid w:val="00DF0146"/>
    <w:rsid w:val="00DF303A"/>
    <w:rsid w:val="00DF5A11"/>
    <w:rsid w:val="00E016A9"/>
    <w:rsid w:val="00E12F40"/>
    <w:rsid w:val="00E25971"/>
    <w:rsid w:val="00E30EDB"/>
    <w:rsid w:val="00E50A67"/>
    <w:rsid w:val="00E5507C"/>
    <w:rsid w:val="00E661E0"/>
    <w:rsid w:val="00E747D2"/>
    <w:rsid w:val="00E87275"/>
    <w:rsid w:val="00EA099F"/>
    <w:rsid w:val="00EA3DD1"/>
    <w:rsid w:val="00EA7515"/>
    <w:rsid w:val="00EC3DB7"/>
    <w:rsid w:val="00ED1286"/>
    <w:rsid w:val="00F006FB"/>
    <w:rsid w:val="00F010AB"/>
    <w:rsid w:val="00F0409D"/>
    <w:rsid w:val="00F057BF"/>
    <w:rsid w:val="00F10363"/>
    <w:rsid w:val="00F318F4"/>
    <w:rsid w:val="00F5028C"/>
    <w:rsid w:val="00F55D46"/>
    <w:rsid w:val="00F614EB"/>
    <w:rsid w:val="00F91AC7"/>
    <w:rsid w:val="00FB6B63"/>
    <w:rsid w:val="00FC00DB"/>
    <w:rsid w:val="00FC15FE"/>
    <w:rsid w:val="01CE6106"/>
    <w:rsid w:val="035A7E10"/>
    <w:rsid w:val="041E109B"/>
    <w:rsid w:val="05B02095"/>
    <w:rsid w:val="06592EE3"/>
    <w:rsid w:val="06D11CF0"/>
    <w:rsid w:val="088E2FE4"/>
    <w:rsid w:val="0A580C84"/>
    <w:rsid w:val="0A9C257F"/>
    <w:rsid w:val="0BFD40A3"/>
    <w:rsid w:val="0C4A6663"/>
    <w:rsid w:val="0D6410F9"/>
    <w:rsid w:val="0F493B7E"/>
    <w:rsid w:val="12DE5ADB"/>
    <w:rsid w:val="13346885"/>
    <w:rsid w:val="14283D03"/>
    <w:rsid w:val="146F0A13"/>
    <w:rsid w:val="170019A3"/>
    <w:rsid w:val="179815CB"/>
    <w:rsid w:val="17AC4E24"/>
    <w:rsid w:val="186F65DF"/>
    <w:rsid w:val="1BC140B7"/>
    <w:rsid w:val="1BC95FB3"/>
    <w:rsid w:val="1C734EE2"/>
    <w:rsid w:val="1F0A55F3"/>
    <w:rsid w:val="225F007A"/>
    <w:rsid w:val="25BA29F8"/>
    <w:rsid w:val="25E25EE0"/>
    <w:rsid w:val="268E6E80"/>
    <w:rsid w:val="28D167CE"/>
    <w:rsid w:val="2A5112CB"/>
    <w:rsid w:val="2B070A56"/>
    <w:rsid w:val="2B4F6A49"/>
    <w:rsid w:val="2B767633"/>
    <w:rsid w:val="2BBC7D20"/>
    <w:rsid w:val="2BC1173E"/>
    <w:rsid w:val="2D96372D"/>
    <w:rsid w:val="2DFE586F"/>
    <w:rsid w:val="2F2F0613"/>
    <w:rsid w:val="304F2AA4"/>
    <w:rsid w:val="305351AE"/>
    <w:rsid w:val="307D7046"/>
    <w:rsid w:val="309D52EE"/>
    <w:rsid w:val="30DB32EC"/>
    <w:rsid w:val="30E54C12"/>
    <w:rsid w:val="325964E1"/>
    <w:rsid w:val="32FA219A"/>
    <w:rsid w:val="336A51BC"/>
    <w:rsid w:val="35073CF7"/>
    <w:rsid w:val="380F49A1"/>
    <w:rsid w:val="382C05D6"/>
    <w:rsid w:val="38726F67"/>
    <w:rsid w:val="38743056"/>
    <w:rsid w:val="391F078D"/>
    <w:rsid w:val="39582F3E"/>
    <w:rsid w:val="39FC0D01"/>
    <w:rsid w:val="3A372751"/>
    <w:rsid w:val="3AAB1131"/>
    <w:rsid w:val="3AAF0730"/>
    <w:rsid w:val="3AC47399"/>
    <w:rsid w:val="3ADA503E"/>
    <w:rsid w:val="3B072C26"/>
    <w:rsid w:val="3C1D2134"/>
    <w:rsid w:val="3C3A085F"/>
    <w:rsid w:val="3D2A0737"/>
    <w:rsid w:val="3E402617"/>
    <w:rsid w:val="40321CA8"/>
    <w:rsid w:val="406174BD"/>
    <w:rsid w:val="40E16540"/>
    <w:rsid w:val="414C7E5B"/>
    <w:rsid w:val="43620296"/>
    <w:rsid w:val="43A711B4"/>
    <w:rsid w:val="467C20EB"/>
    <w:rsid w:val="46C20CE5"/>
    <w:rsid w:val="49D563DA"/>
    <w:rsid w:val="4AFE0B6D"/>
    <w:rsid w:val="4CF02D96"/>
    <w:rsid w:val="4F2E4B4C"/>
    <w:rsid w:val="4FA463AB"/>
    <w:rsid w:val="53390517"/>
    <w:rsid w:val="54436E17"/>
    <w:rsid w:val="54BC7425"/>
    <w:rsid w:val="54BD6BAF"/>
    <w:rsid w:val="54C06906"/>
    <w:rsid w:val="54CA7817"/>
    <w:rsid w:val="555029B2"/>
    <w:rsid w:val="55C21F77"/>
    <w:rsid w:val="56765A88"/>
    <w:rsid w:val="56CC28DF"/>
    <w:rsid w:val="5986113A"/>
    <w:rsid w:val="59B2642D"/>
    <w:rsid w:val="5C567E79"/>
    <w:rsid w:val="5E096CE5"/>
    <w:rsid w:val="5E901CCC"/>
    <w:rsid w:val="5EF81B22"/>
    <w:rsid w:val="5F8A66DB"/>
    <w:rsid w:val="5FED4611"/>
    <w:rsid w:val="61AC7237"/>
    <w:rsid w:val="61CE3E00"/>
    <w:rsid w:val="63856C34"/>
    <w:rsid w:val="64D4469C"/>
    <w:rsid w:val="66BD0AF4"/>
    <w:rsid w:val="66C85B70"/>
    <w:rsid w:val="67AB0CAB"/>
    <w:rsid w:val="686E0917"/>
    <w:rsid w:val="696F1203"/>
    <w:rsid w:val="6B1E5E86"/>
    <w:rsid w:val="6E5703DF"/>
    <w:rsid w:val="6F422684"/>
    <w:rsid w:val="739D4632"/>
    <w:rsid w:val="74265F84"/>
    <w:rsid w:val="74D344C4"/>
    <w:rsid w:val="763A16C4"/>
    <w:rsid w:val="76DA5490"/>
    <w:rsid w:val="785E0CE4"/>
    <w:rsid w:val="79BA07BE"/>
    <w:rsid w:val="79C86ECA"/>
    <w:rsid w:val="7B8B0CB3"/>
    <w:rsid w:val="7BCF6E7A"/>
    <w:rsid w:val="7C0123D0"/>
    <w:rsid w:val="7C304724"/>
    <w:rsid w:val="7EB65DAF"/>
    <w:rsid w:val="7FF344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200" w:firstLineChars="200"/>
      <w:jc w:val="both"/>
    </w:pPr>
    <w:rPr>
      <w:rFonts w:ascii="Times New Roman" w:hAnsi="Times New Roman" w:eastAsia="仿宋_GB2312" w:cstheme="minorBidi"/>
      <w:kern w:val="2"/>
      <w:sz w:val="28"/>
      <w:szCs w:val="22"/>
      <w:lang w:val="en-US" w:eastAsia="zh-CN" w:bidi="ar-SA"/>
    </w:rPr>
  </w:style>
  <w:style w:type="paragraph" w:styleId="2">
    <w:name w:val="heading 1"/>
    <w:basedOn w:val="1"/>
    <w:next w:val="1"/>
    <w:link w:val="11"/>
    <w:qFormat/>
    <w:uiPriority w:val="9"/>
    <w:pPr>
      <w:keepNext/>
      <w:keepLines/>
      <w:outlineLvl w:val="0"/>
    </w:pPr>
    <w:rPr>
      <w:b/>
      <w:bCs/>
      <w:kern w:val="44"/>
      <w:szCs w:val="44"/>
    </w:rPr>
  </w:style>
  <w:style w:type="paragraph" w:styleId="3">
    <w:name w:val="heading 2"/>
    <w:basedOn w:val="1"/>
    <w:next w:val="1"/>
    <w:link w:val="12"/>
    <w:unhideWhenUsed/>
    <w:qFormat/>
    <w:uiPriority w:val="9"/>
    <w:pPr>
      <w:keepNext/>
      <w:keepLines/>
      <w:outlineLvl w:val="1"/>
    </w:pPr>
    <w:rPr>
      <w:rFonts w:cstheme="majorBidi"/>
      <w:bCs/>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4">
    <w:name w:val="Balloon Text"/>
    <w:basedOn w:val="1"/>
    <w:link w:val="13"/>
    <w:unhideWhenUsed/>
    <w:qFormat/>
    <w:uiPriority w:val="99"/>
    <w:pPr>
      <w:spacing w:line="240" w:lineRule="auto"/>
    </w:pPr>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标题 1 Char"/>
    <w:basedOn w:val="8"/>
    <w:link w:val="2"/>
    <w:qFormat/>
    <w:uiPriority w:val="9"/>
    <w:rPr>
      <w:rFonts w:ascii="Times New Roman" w:hAnsi="Times New Roman" w:eastAsia="仿宋_GB2312"/>
      <w:b/>
      <w:bCs/>
      <w:kern w:val="44"/>
      <w:sz w:val="28"/>
      <w:szCs w:val="44"/>
    </w:rPr>
  </w:style>
  <w:style w:type="character" w:customStyle="1" w:styleId="12">
    <w:name w:val="标题 2 Char"/>
    <w:basedOn w:val="8"/>
    <w:link w:val="3"/>
    <w:qFormat/>
    <w:uiPriority w:val="9"/>
    <w:rPr>
      <w:rFonts w:ascii="Times New Roman" w:hAnsi="Times New Roman" w:eastAsia="仿宋_GB2312" w:cstheme="majorBidi"/>
      <w:bCs/>
      <w:sz w:val="28"/>
      <w:szCs w:val="32"/>
    </w:rPr>
  </w:style>
  <w:style w:type="character" w:customStyle="1" w:styleId="13">
    <w:name w:val="批注框文本 Char"/>
    <w:basedOn w:val="8"/>
    <w:link w:val="4"/>
    <w:semiHidden/>
    <w:qFormat/>
    <w:uiPriority w:val="99"/>
    <w:rPr>
      <w:rFonts w:ascii="Times New Roman" w:hAnsi="Times New Roman" w:eastAsia="仿宋_GB2312"/>
      <w:sz w:val="18"/>
      <w:szCs w:val="18"/>
    </w:rPr>
  </w:style>
  <w:style w:type="paragraph" w:customStyle="1" w:styleId="14">
    <w:name w:val="正文1"/>
    <w:basedOn w:val="1"/>
    <w:link w:val="15"/>
    <w:qFormat/>
    <w:uiPriority w:val="0"/>
    <w:pPr>
      <w:widowControl w:val="0"/>
      <w:adjustRightInd w:val="0"/>
      <w:snapToGrid w:val="0"/>
      <w:ind w:firstLine="640"/>
    </w:pPr>
    <w:rPr>
      <w:rFonts w:cs="Times New Roman"/>
      <w:sz w:val="32"/>
      <w:szCs w:val="32"/>
    </w:rPr>
  </w:style>
  <w:style w:type="character" w:customStyle="1" w:styleId="15">
    <w:name w:val="正文1 Char"/>
    <w:basedOn w:val="8"/>
    <w:link w:val="14"/>
    <w:qFormat/>
    <w:uiPriority w:val="0"/>
    <w:rPr>
      <w:rFonts w:ascii="Times New Roman" w:hAnsi="Times New Roman" w:eastAsia="仿宋_GB2312" w:cs="Times New Roman"/>
      <w:sz w:val="32"/>
      <w:szCs w:val="32"/>
    </w:rPr>
  </w:style>
  <w:style w:type="paragraph" w:customStyle="1" w:styleId="16">
    <w:name w:val="表名"/>
    <w:basedOn w:val="1"/>
    <w:link w:val="17"/>
    <w:qFormat/>
    <w:uiPriority w:val="0"/>
    <w:pPr>
      <w:widowControl w:val="0"/>
      <w:adjustRightInd w:val="0"/>
      <w:snapToGrid w:val="0"/>
      <w:spacing w:afterLines="50" w:line="240" w:lineRule="auto"/>
      <w:ind w:firstLine="0" w:firstLineChars="0"/>
    </w:pPr>
    <w:rPr>
      <w:rFonts w:cs="Times New Roman"/>
      <w:b/>
      <w:kern w:val="0"/>
      <w:sz w:val="32"/>
      <w:szCs w:val="32"/>
    </w:rPr>
  </w:style>
  <w:style w:type="character" w:customStyle="1" w:styleId="17">
    <w:name w:val="表名 Char"/>
    <w:basedOn w:val="8"/>
    <w:link w:val="16"/>
    <w:qFormat/>
    <w:uiPriority w:val="0"/>
    <w:rPr>
      <w:rFonts w:ascii="Times New Roman" w:hAnsi="Times New Roman" w:eastAsia="仿宋_GB2312" w:cs="Times New Roman"/>
      <w:b/>
      <w:kern w:val="0"/>
      <w:sz w:val="32"/>
      <w:szCs w:val="32"/>
    </w:rPr>
  </w:style>
  <w:style w:type="paragraph" w:customStyle="1" w:styleId="18">
    <w:name w:val="列出段落1"/>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C517C4-4CB5-4926-9E97-95504B7F3B09}">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273</Words>
  <Characters>1561</Characters>
  <Lines>13</Lines>
  <Paragraphs>3</Paragraphs>
  <TotalTime>8</TotalTime>
  <ScaleCrop>false</ScaleCrop>
  <LinksUpToDate>false</LinksUpToDate>
  <CharactersWithSpaces>1831</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2019-06-06T08:59:00Z</dcterms:created>
  <dc:creator>张三</dc:creator>
  <cp:lastModifiedBy>青帝</cp:lastModifiedBy>
  <cp:lastPrinted>2019-06-20T02:29:00Z</cp:lastPrinted>
  <dcterms:modified xsi:type="dcterms:W3CDTF">2019-06-28T01:01:21Z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