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92" w:type="dxa"/>
        <w:tblInd w:w="-552" w:type="dxa"/>
        <w:tblLayout w:type="fixed"/>
        <w:tblCellMar>
          <w:top w:w="15" w:type="dxa"/>
          <w:left w:w="15" w:type="dxa"/>
          <w:bottom w:w="15" w:type="dxa"/>
          <w:right w:w="15" w:type="dxa"/>
        </w:tblCellMar>
        <w:tblLook w:val="0000"/>
      </w:tblPr>
      <w:tblGrid>
        <w:gridCol w:w="1346"/>
        <w:gridCol w:w="825"/>
        <w:gridCol w:w="795"/>
        <w:gridCol w:w="1336"/>
        <w:gridCol w:w="3510"/>
        <w:gridCol w:w="1365"/>
        <w:gridCol w:w="915"/>
      </w:tblGrid>
      <w:tr w:rsidR="00E7240A" w:rsidTr="00965386">
        <w:trPr>
          <w:trHeight w:val="286"/>
        </w:trPr>
        <w:tc>
          <w:tcPr>
            <w:tcW w:w="10092" w:type="dxa"/>
            <w:gridSpan w:val="7"/>
            <w:vAlign w:val="center"/>
          </w:tcPr>
          <w:p w:rsidR="00E7240A" w:rsidRDefault="00E7240A" w:rsidP="00E7240A">
            <w:pPr>
              <w:widowControl/>
              <w:jc w:val="left"/>
              <w:textAlignment w:val="center"/>
              <w:rPr>
                <w:rFonts w:ascii="黑体" w:eastAsia="黑体" w:hAnsi="宋体" w:cs="黑体"/>
                <w:color w:val="000000"/>
                <w:sz w:val="22"/>
                <w:szCs w:val="22"/>
              </w:rPr>
            </w:pPr>
            <w:r>
              <w:rPr>
                <w:rFonts w:ascii="黑体" w:eastAsia="黑体" w:hAnsi="宋体" w:cs="黑体" w:hint="eastAsia"/>
                <w:color w:val="000000"/>
                <w:kern w:val="0"/>
                <w:sz w:val="28"/>
                <w:szCs w:val="28"/>
              </w:rPr>
              <w:t>附件1</w:t>
            </w:r>
          </w:p>
        </w:tc>
      </w:tr>
      <w:tr w:rsidR="00E7240A" w:rsidTr="00965386">
        <w:trPr>
          <w:trHeight w:val="360"/>
        </w:trPr>
        <w:tc>
          <w:tcPr>
            <w:tcW w:w="10092" w:type="dxa"/>
            <w:gridSpan w:val="7"/>
            <w:tcBorders>
              <w:bottom w:val="single" w:sz="4" w:space="0" w:color="000000"/>
            </w:tcBorders>
            <w:vAlign w:val="center"/>
          </w:tcPr>
          <w:p w:rsidR="00E7240A" w:rsidRDefault="00E7240A" w:rsidP="00965386">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rPr>
              <w:t>部门整体支出绩效评价指标体系评分表</w:t>
            </w:r>
          </w:p>
        </w:tc>
      </w:tr>
      <w:tr w:rsidR="00E7240A" w:rsidTr="00965386">
        <w:trPr>
          <w:trHeight w:val="810"/>
        </w:trPr>
        <w:tc>
          <w:tcPr>
            <w:tcW w:w="134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一级指标</w:t>
            </w: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二级指标</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三级指标</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四级指标</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评分标准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评分依据及简要说明</w:t>
            </w: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得分</w:t>
            </w:r>
          </w:p>
        </w:tc>
      </w:tr>
      <w:tr w:rsidR="00E7240A" w:rsidTr="00965386">
        <w:trPr>
          <w:trHeight w:val="1561"/>
        </w:trPr>
        <w:tc>
          <w:tcPr>
            <w:tcW w:w="1346" w:type="dxa"/>
            <w:vMerge w:val="restart"/>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履职效能（35分）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工作目标（5分）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目标设定（4分）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目标依据充分性（2分）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123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工作目标合理性（2分）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①是否符合客观实际是否可实现、可完成；②是否将部门整体的工作目标细化分解，使其为可衡量、可比较。每项达到目标值得1分。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123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目标管理（1分）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目标管理有效性（1分）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①是否有对目标进行责任分解的相关工作机制；②目标管理工作机制是否科学、合理，是否能有效保障目标执行和落地。每项达到目标值得0.5分。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w:t>
            </w:r>
          </w:p>
        </w:tc>
      </w:tr>
      <w:tr w:rsidR="00E7240A" w:rsidTr="00965386">
        <w:trPr>
          <w:trHeight w:val="96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整体工作（15分）</w:t>
            </w:r>
          </w:p>
        </w:tc>
        <w:tc>
          <w:tcPr>
            <w:tcW w:w="79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整体工作完成（15分）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总体工作完成率（15分）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总体工作完成率=单位年度工作要点已完成的数量/单位年度工作要点工作总数量；得分=指标实际完成值×15。</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15</w:t>
            </w:r>
          </w:p>
        </w:tc>
      </w:tr>
      <w:tr w:rsidR="00E7240A" w:rsidTr="00965386">
        <w:trPr>
          <w:trHeight w:val="555"/>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重点工作（15分）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主体班培训</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主体班培训工作完成率（15分）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Pr="006928D6" w:rsidRDefault="00E7240A" w:rsidP="00135E73">
            <w:pPr>
              <w:jc w:val="left"/>
              <w:rPr>
                <w:rFonts w:ascii="宋体" w:hAnsi="宋体" w:cs="宋体"/>
                <w:color w:val="000000"/>
                <w:sz w:val="20"/>
                <w:szCs w:val="20"/>
              </w:rPr>
            </w:pPr>
            <w:r>
              <w:rPr>
                <w:rFonts w:ascii="宋体" w:hAnsi="宋体" w:cs="宋体" w:hint="eastAsia"/>
                <w:color w:val="000000"/>
                <w:sz w:val="20"/>
                <w:szCs w:val="20"/>
              </w:rPr>
              <w:t>按照201</w:t>
            </w:r>
            <w:r w:rsidR="00135E73">
              <w:rPr>
                <w:rFonts w:ascii="宋体" w:hAnsi="宋体" w:cs="宋体" w:hint="eastAsia"/>
                <w:color w:val="000000"/>
                <w:sz w:val="20"/>
                <w:szCs w:val="20"/>
              </w:rPr>
              <w:t>8</w:t>
            </w:r>
            <w:r>
              <w:rPr>
                <w:rFonts w:ascii="宋体" w:hAnsi="宋体" w:cs="宋体" w:hint="eastAsia"/>
                <w:color w:val="000000"/>
                <w:sz w:val="20"/>
                <w:szCs w:val="20"/>
              </w:rPr>
              <w:t>年大余县干部教育培训计划完成培训任务。</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Pr="006928D6" w:rsidRDefault="00E7240A" w:rsidP="00965386">
            <w:pPr>
              <w:ind w:firstLineChars="150" w:firstLine="300"/>
              <w:rPr>
                <w:rFonts w:ascii="宋体" w:hAnsi="宋体" w:cs="宋体"/>
                <w:color w:val="000000"/>
                <w:sz w:val="20"/>
                <w:szCs w:val="20"/>
              </w:rPr>
            </w:pPr>
            <w:r>
              <w:rPr>
                <w:rFonts w:ascii="宋体" w:hAnsi="宋体" w:cs="宋体" w:hint="eastAsia"/>
                <w:color w:val="000000"/>
                <w:sz w:val="20"/>
                <w:szCs w:val="20"/>
              </w:rPr>
              <w:t>15</w:t>
            </w:r>
          </w:p>
        </w:tc>
      </w:tr>
      <w:tr w:rsidR="00E7240A" w:rsidTr="00965386">
        <w:trPr>
          <w:trHeight w:val="2161"/>
        </w:trPr>
        <w:tc>
          <w:tcPr>
            <w:tcW w:w="1346"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预算管理（25分）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预算编制（6分）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预算编制完整性（4分）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4</w:t>
            </w:r>
          </w:p>
        </w:tc>
      </w:tr>
      <w:tr w:rsidR="00E7240A" w:rsidTr="00965386">
        <w:trPr>
          <w:trHeight w:val="97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预算科目设置合理性（2分）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①功能科目编制是否科学合理，编制到“项”；②经济科目的编制是否科学合理，编排至“款”。每项达到目标值得1分。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1396"/>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预算执行（16分）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预算执行率（12分）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预算执行率=（预算执行数/预算数）×100%。得分=指标实际完成值×12。其中，预算执行数指部门本年度实际执行的预算数；预算数指财政部门批复的本年度部门的预算数。</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11</w:t>
            </w:r>
          </w:p>
        </w:tc>
      </w:tr>
      <w:tr w:rsidR="00E7240A" w:rsidTr="00965386">
        <w:trPr>
          <w:trHeight w:val="2761"/>
        </w:trPr>
        <w:tc>
          <w:tcPr>
            <w:tcW w:w="13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预算调整率（2分）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666C22"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1336"/>
        </w:trPr>
        <w:tc>
          <w:tcPr>
            <w:tcW w:w="13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结转结余变动率（2分）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结转结余变动率=[（本年度累计结转结余资金总额-上年度累计结转结余资金总额）/上年度累计结转结余资金总额]×100%；比率小于等于0，得2分；比率大于0，得0分。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666C22"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97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部门决算（1分）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部门决算编报质量（1分）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①是否按照相关编审要求报送；②部门决算编报的单位范围和资金范围是否符合相关要求。每项达到目标值得0.5分。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w:t>
            </w:r>
          </w:p>
        </w:tc>
      </w:tr>
      <w:tr w:rsidR="00E7240A" w:rsidTr="00965386">
        <w:trPr>
          <w:trHeight w:val="55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预算改革（2分）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三年滚动财政规划（1分）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按文件规定编制了本部门（单位）中期财政规划得1分。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r>
      <w:tr w:rsidR="00E7240A" w:rsidTr="00965386">
        <w:trPr>
          <w:trHeight w:val="55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政府部门财务报告（1分）</w:t>
            </w:r>
          </w:p>
        </w:tc>
        <w:tc>
          <w:tcPr>
            <w:tcW w:w="3510" w:type="dxa"/>
            <w:tcBorders>
              <w:top w:val="single" w:sz="4" w:space="0" w:color="000000"/>
              <w:left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按文件规定编制了政府部门财务报告得1分。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w:t>
            </w:r>
          </w:p>
        </w:tc>
      </w:tr>
      <w:tr w:rsidR="00E7240A" w:rsidTr="00965386">
        <w:trPr>
          <w:trHeight w:val="1291"/>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收支管理（5分）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收入管理（2分）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收入管理规范性（2分）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财政拨款收入、事业收入、上级补助收入、下属单位上缴收入、经营收入及其他收入管理是否符合财务规定。达到目标值得2分。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810"/>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支出管理（3分）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支出管理规范性（2分）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基本支出和项目支出是否符合财务规定及相关制度办法的有关规定。达到目标值得2分。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1020"/>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重点支出结构合理性（1分）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重点项目支出是否合理（重点支出保障率=（重点项目支出/项目总支出）×100%）；得分=指标实际完成值×1。</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w:t>
            </w:r>
          </w:p>
        </w:tc>
      </w:tr>
      <w:tr w:rsidR="00E7240A" w:rsidTr="00965386">
        <w:trPr>
          <w:trHeight w:val="1876"/>
        </w:trPr>
        <w:tc>
          <w:tcPr>
            <w:tcW w:w="1346" w:type="dxa"/>
            <w:vMerge w:val="restart"/>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财务管理（6分）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制度完备（1.5分）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财务管理制度的完备性（1.5分）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1.5</w:t>
            </w:r>
          </w:p>
        </w:tc>
      </w:tr>
      <w:tr w:rsidR="00E7240A" w:rsidTr="00965386">
        <w:trPr>
          <w:trHeight w:val="84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采购管理（2分）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政府采购执行率（2分）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政府采购执行率=（实际政府采购金额/政府采购预算数）×100%；得分=指标实际完成值×2。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2956"/>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内部控制（2.5分）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内控制度有效性（2.5分）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2161"/>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资产管理（4分）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规范管理（2分）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资产管理规范性（2分）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w:t>
            </w:r>
          </w:p>
        </w:tc>
      </w:tr>
      <w:tr w:rsidR="00E7240A" w:rsidTr="00965386">
        <w:trPr>
          <w:trHeight w:val="1035"/>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有效使用（2分）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部门固定资产利用率（2分）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部门固定资产利用率=（部门实际在用固定资产总额/部门所有固定资产总额）×100%；得分=指标实际完成值×2。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1.5</w:t>
            </w:r>
          </w:p>
        </w:tc>
      </w:tr>
      <w:tr w:rsidR="00E7240A" w:rsidTr="00965386">
        <w:trPr>
          <w:trHeight w:val="105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成本控制（12分）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机构运转成本调控（12分）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一般性支出变动率（5分）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一般性支出变动率=[（本年度一般性支出-上年度一般性支出） /本年度一般性支出]×100%；比率小于等于0，得5分；比率大于0，得0分。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4.5</w:t>
            </w:r>
          </w:p>
        </w:tc>
      </w:tr>
      <w:tr w:rsidR="00E7240A" w:rsidTr="00965386">
        <w:trPr>
          <w:trHeight w:val="990"/>
        </w:trPr>
        <w:tc>
          <w:tcPr>
            <w:tcW w:w="1346" w:type="dxa"/>
            <w:vMerge/>
            <w:tcBorders>
              <w:top w:val="single" w:sz="4" w:space="0" w:color="000000"/>
              <w:left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人均公用经费变动率（3分）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人均公用经费变动率=[（本年度人均公用经费-上年度人均公用经费） /上年度人均公用经费]×100%；比率小于等于0，得3分；比率大于0，得0分。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2.5</w:t>
            </w:r>
          </w:p>
        </w:tc>
      </w:tr>
      <w:tr w:rsidR="00E7240A" w:rsidTr="00965386">
        <w:trPr>
          <w:trHeight w:val="1215"/>
        </w:trPr>
        <w:tc>
          <w:tcPr>
            <w:tcW w:w="1346" w:type="dxa"/>
            <w:vMerge/>
            <w:tcBorders>
              <w:top w:val="single" w:sz="4" w:space="0" w:color="000000"/>
              <w:left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“三公经费”变动率（4分）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“三公经费”变动率=[（本年度“三公经费”总额-上年度“三公经费”总额） /上年度“三公经费”总额]×100%；比率小于等于0，得4分；比率大于0，得0分。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3</w:t>
            </w:r>
          </w:p>
        </w:tc>
      </w:tr>
      <w:tr w:rsidR="00E7240A" w:rsidTr="00965386">
        <w:trPr>
          <w:trHeight w:val="720"/>
        </w:trPr>
        <w:tc>
          <w:tcPr>
            <w:tcW w:w="1346" w:type="dxa"/>
            <w:vMerge w:val="restart"/>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服务满意（8分）</w:t>
            </w:r>
          </w:p>
        </w:tc>
        <w:tc>
          <w:tcPr>
            <w:tcW w:w="82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服务对象满意</w:t>
            </w:r>
          </w:p>
        </w:tc>
        <w:tc>
          <w:tcPr>
            <w:tcW w:w="79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公众满意度（4分）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公众满意度百分比</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95%（含）以上计4分；85%（含）-95%，计3分；75%（含）-85%，计1分；低于75%计0分。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3</w:t>
            </w:r>
          </w:p>
        </w:tc>
      </w:tr>
      <w:tr w:rsidR="00E7240A" w:rsidTr="00965386">
        <w:trPr>
          <w:trHeight w:val="84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利益相关方满意</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利益相关方满意度（4分）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社会公众投诉率或投诉次数</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投诉率或投诉次数=0，得4分；投诉率或投诉次数&gt;0，得0分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rPr>
                <w:rFonts w:ascii="宋体" w:hAnsi="宋体" w:cs="宋体"/>
                <w:color w:val="000000"/>
                <w:sz w:val="20"/>
                <w:szCs w:val="20"/>
              </w:rPr>
            </w:pPr>
            <w:r>
              <w:rPr>
                <w:rFonts w:ascii="宋体" w:hAnsi="宋体" w:cs="宋体" w:hint="eastAsia"/>
                <w:color w:val="000000"/>
                <w:sz w:val="20"/>
                <w:szCs w:val="20"/>
              </w:rPr>
              <w:t>4</w:t>
            </w:r>
          </w:p>
        </w:tc>
      </w:tr>
      <w:tr w:rsidR="00E7240A" w:rsidTr="00965386">
        <w:trPr>
          <w:trHeight w:val="1110"/>
        </w:trPr>
        <w:tc>
          <w:tcPr>
            <w:tcW w:w="134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可持续性（5分）</w:t>
            </w: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可持续性影响程度</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持续发挥作用的期限（5分）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公众受益覆盖面</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受益覆盖面达到95%（含）以上计5分；85%（含）-95%，计3分；75%（含）-85%，计1分；低于75%计0分。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r>
              <w:rPr>
                <w:rFonts w:ascii="宋体" w:hAnsi="宋体" w:cs="宋体" w:hint="eastAsia"/>
                <w:color w:val="000000"/>
                <w:sz w:val="20"/>
                <w:szCs w:val="20"/>
              </w:rPr>
              <w:t>4</w:t>
            </w:r>
          </w:p>
        </w:tc>
      </w:tr>
      <w:tr w:rsidR="00E7240A" w:rsidTr="00965386">
        <w:trPr>
          <w:trHeight w:val="2731"/>
        </w:trPr>
        <w:tc>
          <w:tcPr>
            <w:tcW w:w="134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减分项</w:t>
            </w: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监督检查、审计、绩效评价中发现的问题</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监督检查、审计、绩效评价中发现的问题</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在市级以上组织的监督检查、审计、绩效评价中发现部门资金管理方面存在问题或项目绩效目标未达成的，一个问题扣1分，不重复扣分。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left"/>
              <w:rPr>
                <w:rFonts w:ascii="宋体" w:hAnsi="宋体" w:cs="宋体"/>
                <w:color w:val="000000"/>
                <w:sz w:val="20"/>
                <w:szCs w:val="20"/>
              </w:rPr>
            </w:pPr>
            <w:r>
              <w:rPr>
                <w:rFonts w:ascii="宋体" w:hAnsi="宋体" w:cs="宋体" w:hint="eastAsia"/>
                <w:color w:val="000000"/>
                <w:sz w:val="20"/>
                <w:szCs w:val="20"/>
              </w:rPr>
              <w:t>无</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color w:val="000000"/>
                <w:sz w:val="20"/>
                <w:szCs w:val="20"/>
              </w:rPr>
            </w:pPr>
          </w:p>
        </w:tc>
      </w:tr>
      <w:tr w:rsidR="00E7240A" w:rsidTr="00965386">
        <w:trPr>
          <w:trHeight w:val="450"/>
        </w:trPr>
        <w:tc>
          <w:tcPr>
            <w:tcW w:w="9177" w:type="dxa"/>
            <w:gridSpan w:val="6"/>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总     分</w:t>
            </w: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666C22">
            <w:pPr>
              <w:jc w:val="center"/>
              <w:rPr>
                <w:rFonts w:ascii="宋体" w:hAnsi="宋体" w:cs="宋体"/>
                <w:color w:val="000000"/>
                <w:sz w:val="20"/>
                <w:szCs w:val="20"/>
              </w:rPr>
            </w:pPr>
            <w:r>
              <w:rPr>
                <w:rFonts w:ascii="宋体" w:hAnsi="宋体" w:cs="宋体" w:hint="eastAsia"/>
                <w:color w:val="000000"/>
                <w:sz w:val="20"/>
                <w:szCs w:val="20"/>
              </w:rPr>
              <w:t>9</w:t>
            </w:r>
            <w:r w:rsidR="00666C22">
              <w:rPr>
                <w:rFonts w:ascii="宋体" w:hAnsi="宋体" w:cs="宋体" w:hint="eastAsia"/>
                <w:color w:val="000000"/>
                <w:sz w:val="20"/>
                <w:szCs w:val="20"/>
              </w:rPr>
              <w:t>3</w:t>
            </w:r>
          </w:p>
        </w:tc>
      </w:tr>
      <w:tr w:rsidR="00E7240A" w:rsidTr="00965386">
        <w:trPr>
          <w:trHeight w:val="660"/>
        </w:trPr>
        <w:tc>
          <w:tcPr>
            <w:tcW w:w="10092" w:type="dxa"/>
            <w:gridSpan w:val="7"/>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rPr>
              <w:t>注：重点工作、服务满意、可持续性这三项单位根据年初目标实际情况设定指标和评分标准。</w:t>
            </w:r>
          </w:p>
        </w:tc>
      </w:tr>
    </w:tbl>
    <w:p w:rsidR="00761DD3" w:rsidRPr="00E7240A" w:rsidRDefault="00761DD3"/>
    <w:sectPr w:rsidR="00761DD3" w:rsidRPr="00E7240A" w:rsidSect="00B048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5175" w:rsidRDefault="00C55175" w:rsidP="00E7240A">
      <w:r>
        <w:separator/>
      </w:r>
    </w:p>
  </w:endnote>
  <w:endnote w:type="continuationSeparator" w:id="1">
    <w:p w:rsidR="00C55175" w:rsidRDefault="00C55175" w:rsidP="00E724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5175" w:rsidRDefault="00C55175" w:rsidP="00E7240A">
      <w:r>
        <w:separator/>
      </w:r>
    </w:p>
  </w:footnote>
  <w:footnote w:type="continuationSeparator" w:id="1">
    <w:p w:rsidR="00C55175" w:rsidRDefault="00C55175" w:rsidP="00E724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240A"/>
    <w:rsid w:val="00135E73"/>
    <w:rsid w:val="00666C22"/>
    <w:rsid w:val="00761DD3"/>
    <w:rsid w:val="00B048D4"/>
    <w:rsid w:val="00C55175"/>
    <w:rsid w:val="00E724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40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24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7240A"/>
    <w:rPr>
      <w:sz w:val="18"/>
      <w:szCs w:val="18"/>
    </w:rPr>
  </w:style>
  <w:style w:type="paragraph" w:styleId="a4">
    <w:name w:val="footer"/>
    <w:basedOn w:val="a"/>
    <w:link w:val="Char0"/>
    <w:uiPriority w:val="99"/>
    <w:semiHidden/>
    <w:unhideWhenUsed/>
    <w:rsid w:val="00E724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7240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460</Words>
  <Characters>2628</Characters>
  <Application>Microsoft Office Word</Application>
  <DocSecurity>0</DocSecurity>
  <Lines>21</Lines>
  <Paragraphs>6</Paragraphs>
  <ScaleCrop>false</ScaleCrop>
  <Company>微软中国</Company>
  <LinksUpToDate>false</LinksUpToDate>
  <CharactersWithSpaces>3082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2021-05-14T07:31:00Z</dcterms:created>
  <dcterms:modified xsi:type="dcterms:W3CDTF">2021-05-14T08:29:00Z</dcterms:modified>
</cp:coreProperties>
</file>