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40" w:type="dxa"/>
        <w:jc w:val="center"/>
        <w:tblLayout w:type="fixed"/>
        <w:tblCellMar>
          <w:top w:w="15" w:type="dxa"/>
          <w:left w:w="15" w:type="dxa"/>
          <w:bottom w:w="15" w:type="dxa"/>
          <w:right w:w="15" w:type="dxa"/>
        </w:tblCellMar>
        <w:tblLook w:val="04A0"/>
      </w:tblPr>
      <w:tblGrid>
        <w:gridCol w:w="794"/>
        <w:gridCol w:w="825"/>
        <w:gridCol w:w="795"/>
        <w:gridCol w:w="1336"/>
        <w:gridCol w:w="3510"/>
        <w:gridCol w:w="1365"/>
        <w:gridCol w:w="915"/>
      </w:tblGrid>
      <w:tr w:rsidR="00E0443D" w:rsidTr="006E69E5">
        <w:trPr>
          <w:trHeight w:val="360"/>
          <w:jc w:val="center"/>
        </w:trPr>
        <w:tc>
          <w:tcPr>
            <w:tcW w:w="9540" w:type="dxa"/>
            <w:gridSpan w:val="7"/>
            <w:tcBorders>
              <w:bottom w:val="single" w:sz="4" w:space="0" w:color="000000"/>
            </w:tcBorders>
            <w:vAlign w:val="center"/>
          </w:tcPr>
          <w:p w:rsidR="00E0443D" w:rsidRDefault="00E0443D" w:rsidP="006E69E5">
            <w:pPr>
              <w:widowControl/>
              <w:jc w:val="center"/>
              <w:textAlignment w:val="center"/>
              <w:rPr>
                <w:rFonts w:ascii="黑体" w:eastAsia="黑体" w:hAnsi="宋体" w:cs="黑体" w:hint="eastAsia"/>
                <w:b/>
                <w:color w:val="000000"/>
                <w:kern w:val="0"/>
                <w:sz w:val="32"/>
                <w:szCs w:val="32"/>
              </w:rPr>
            </w:pPr>
            <w:r>
              <w:rPr>
                <w:rFonts w:ascii="黑体" w:eastAsia="黑体" w:hAnsi="宋体" w:cs="黑体" w:hint="eastAsia"/>
                <w:b/>
                <w:color w:val="000000"/>
                <w:kern w:val="0"/>
                <w:sz w:val="32"/>
                <w:szCs w:val="32"/>
              </w:rPr>
              <w:t>大余县人民检察院</w:t>
            </w:r>
          </w:p>
          <w:p w:rsidR="00E0443D" w:rsidRDefault="00E0443D" w:rsidP="006E69E5">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rPr>
              <w:t>2018年</w:t>
            </w:r>
            <w:r>
              <w:rPr>
                <w:rFonts w:ascii="黑体" w:eastAsia="黑体" w:hAnsi="宋体" w:cs="黑体" w:hint="eastAsia"/>
                <w:b/>
                <w:color w:val="000000"/>
                <w:kern w:val="0"/>
                <w:sz w:val="32"/>
                <w:szCs w:val="32"/>
              </w:rPr>
              <w:t>整体支出绩效评价指标体系评分表</w:t>
            </w:r>
          </w:p>
        </w:tc>
      </w:tr>
      <w:tr w:rsidR="00E0443D" w:rsidTr="006E69E5">
        <w:trPr>
          <w:trHeight w:val="810"/>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一级指标</w:t>
            </w:r>
          </w:p>
        </w:tc>
        <w:tc>
          <w:tcPr>
            <w:tcW w:w="82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二级指标</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三级指标</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四级指标</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评分标准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评分依据及简要说明</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得分</w:t>
            </w:r>
          </w:p>
        </w:tc>
      </w:tr>
      <w:tr w:rsidR="00E0443D" w:rsidTr="006E69E5">
        <w:trPr>
          <w:trHeight w:val="1561"/>
          <w:jc w:val="center"/>
        </w:trPr>
        <w:tc>
          <w:tcPr>
            <w:tcW w:w="794" w:type="dxa"/>
            <w:vMerge w:val="restart"/>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履职效能（35分）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工作目标（5分）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目标设定（4分）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目标依据充分性（2分）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目标依据符合各项目标值</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23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工作目标合理性（2分）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①是否符合客观实际是否可实现、可完成；②是否将部门整体的工作目标细化分解，使其为可衡量、可比较。每项达到目标值得1分。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目标可实现、可完成、可衡量、可比较</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23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目标管理（1分）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目标管理有效性（1分）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①是否有对目标进行责任分解的相关工作机制；②目标管理工作机制是否科学、合理，是否能有效保障目标执行和落地。每项达到目标值得0.5分。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目标管理有效</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w:t>
            </w:r>
          </w:p>
        </w:tc>
      </w:tr>
      <w:tr w:rsidR="00E0443D" w:rsidTr="006E69E5">
        <w:trPr>
          <w:trHeight w:val="96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整体工作（15分）</w:t>
            </w:r>
          </w:p>
        </w:tc>
        <w:tc>
          <w:tcPr>
            <w:tcW w:w="795" w:type="dxa"/>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整体工作完成（15分）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总体工作完成率（15分）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总体工作完成率=单位年度工作要点已完成的数量/单位年度工作要点工作总数量；得分=指标实际完成值×15。</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工作完成率</w:t>
            </w:r>
            <w:r>
              <w:rPr>
                <w:rFonts w:ascii="仿宋_GB2312" w:eastAsia="仿宋_GB2312" w:hAnsi="等线" w:hint="eastAsia"/>
                <w:sz w:val="20"/>
              </w:rPr>
              <w:t>95%以上</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14</w:t>
            </w:r>
          </w:p>
        </w:tc>
      </w:tr>
      <w:tr w:rsidR="00E0443D" w:rsidTr="006E69E5">
        <w:trPr>
          <w:trHeight w:val="555"/>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val="restart"/>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重点工作（15分）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15</w:t>
            </w:r>
          </w:p>
        </w:tc>
      </w:tr>
      <w:tr w:rsidR="00E0443D" w:rsidTr="006E69E5">
        <w:trPr>
          <w:trHeight w:val="555"/>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rPr>
                <w:rFonts w:ascii="宋体" w:hAnsi="宋体" w:cs="宋体"/>
                <w:color w:val="000000"/>
                <w:sz w:val="20"/>
              </w:rPr>
            </w:pPr>
          </w:p>
        </w:tc>
      </w:tr>
      <w:tr w:rsidR="00E0443D" w:rsidTr="006E69E5">
        <w:trPr>
          <w:trHeight w:val="684"/>
          <w:jc w:val="center"/>
        </w:trPr>
        <w:tc>
          <w:tcPr>
            <w:tcW w:w="794"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预算管理（25分）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预算编制（6分）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预算编制完整性（4分）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w:t>
            </w:r>
            <w:proofErr w:type="gramStart"/>
            <w:r>
              <w:rPr>
                <w:rFonts w:ascii="宋体" w:hAnsi="宋体" w:cs="宋体" w:hint="eastAsia"/>
                <w:color w:val="000000"/>
                <w:kern w:val="0"/>
                <w:sz w:val="20"/>
              </w:rPr>
              <w:t>公经费</w:t>
            </w:r>
            <w:proofErr w:type="gramEnd"/>
            <w:r>
              <w:rPr>
                <w:rFonts w:ascii="宋体" w:hAnsi="宋体" w:cs="宋体" w:hint="eastAsia"/>
                <w:color w:val="000000"/>
                <w:kern w:val="0"/>
                <w:sz w:val="20"/>
              </w:rPr>
              <w:t>预算编制只减不增。每项达到目标值得1分。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预算编制完整，全部达标</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4</w:t>
            </w:r>
          </w:p>
        </w:tc>
      </w:tr>
      <w:tr w:rsidR="00E0443D" w:rsidTr="006E69E5">
        <w:trPr>
          <w:trHeight w:val="97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预算科目设置合理性（2分）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①功能科目编制是否科学合理，编制到“项”；②经济科目的编制是否科学合理，编排至“款”。每项达到目标值得1分。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预算科目设置合理</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396"/>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预算执行（16分）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预算执行率（12分）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sz w:val="20"/>
              </w:rPr>
              <w:t>预算执行率</w:t>
            </w:r>
            <w:r w:rsidRPr="00A21536">
              <w:rPr>
                <w:rFonts w:ascii="宋体" w:hAnsi="宋体" w:hint="eastAsia"/>
                <w:sz w:val="20"/>
              </w:rPr>
              <w:t>100%</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12</w:t>
            </w:r>
          </w:p>
        </w:tc>
      </w:tr>
      <w:tr w:rsidR="00E0443D" w:rsidTr="006E69E5">
        <w:trPr>
          <w:trHeight w:val="2761"/>
          <w:jc w:val="center"/>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预算调整率（2分）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Pr="00A21536" w:rsidRDefault="00E0443D" w:rsidP="006E69E5">
            <w:pPr>
              <w:jc w:val="center"/>
              <w:rPr>
                <w:rFonts w:ascii="宋体" w:hAnsi="宋体" w:cs="宋体"/>
                <w:sz w:val="20"/>
              </w:rPr>
            </w:pPr>
            <w:r w:rsidRPr="00A21536">
              <w:rPr>
                <w:rFonts w:ascii="宋体" w:hAnsi="宋体"/>
                <w:sz w:val="20"/>
              </w:rPr>
              <w:t>预算调整率</w:t>
            </w:r>
            <w:r>
              <w:rPr>
                <w:rFonts w:ascii="宋体" w:hAnsi="宋体" w:hint="eastAsia"/>
                <w:sz w:val="20"/>
              </w:rPr>
              <w:t>8</w:t>
            </w:r>
            <w:r w:rsidRPr="00A21536">
              <w:rPr>
                <w:rFonts w:ascii="宋体" w:hAnsi="宋体" w:hint="eastAsia"/>
                <w:sz w:val="20"/>
              </w:rPr>
              <w:t>%</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1.5</w:t>
            </w:r>
          </w:p>
        </w:tc>
      </w:tr>
      <w:tr w:rsidR="00E0443D" w:rsidTr="006E69E5">
        <w:trPr>
          <w:trHeight w:val="1336"/>
          <w:jc w:val="center"/>
        </w:trPr>
        <w:tc>
          <w:tcPr>
            <w:tcW w:w="79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结转结余变动率（2分）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结转结余变动率=[（本年度累计结转结余资金总额-上年度累计结转结余资金总额）/上年度累计结转结余资金总额]×100%；比率小于等于0，得2分；比率大于0，得0分。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Pr="00A21536" w:rsidRDefault="00E0443D" w:rsidP="006E69E5">
            <w:pPr>
              <w:jc w:val="center"/>
              <w:rPr>
                <w:rFonts w:ascii="宋体" w:hAnsi="宋体" w:cs="宋体"/>
                <w:sz w:val="20"/>
              </w:rPr>
            </w:pPr>
            <w:r w:rsidRPr="00A21536">
              <w:rPr>
                <w:rFonts w:ascii="宋体" w:hAnsi="宋体"/>
                <w:sz w:val="20"/>
              </w:rPr>
              <w:t>结转结余变动率</w:t>
            </w:r>
            <w:proofErr w:type="gramStart"/>
            <w:r w:rsidRPr="00A21536">
              <w:rPr>
                <w:rFonts w:ascii="宋体" w:hAnsi="宋体" w:hint="eastAsia"/>
                <w:sz w:val="20"/>
              </w:rPr>
              <w:t>〈</w:t>
            </w:r>
            <w:proofErr w:type="gramEnd"/>
            <w:r w:rsidRPr="00A21536">
              <w:rPr>
                <w:rFonts w:ascii="宋体" w:hAnsi="宋体" w:hint="eastAsia"/>
                <w:sz w:val="20"/>
              </w:rPr>
              <w:t>0</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97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部门决算（1分）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部门决算编报质量（1分）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①是否按照相关编审要求报送；②部门决算编报的单位范围和资金范围是否符合相关要求。每项达到目标值得0.5分。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符合各项要求</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w:t>
            </w:r>
          </w:p>
        </w:tc>
      </w:tr>
      <w:tr w:rsidR="00E0443D" w:rsidTr="006E69E5">
        <w:trPr>
          <w:trHeight w:val="55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预算改革（2分）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三年滚动财政规划（1分）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按文件规定编制了本部门（单位）中期财政规划得1分。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是</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w:t>
            </w:r>
          </w:p>
        </w:tc>
      </w:tr>
      <w:tr w:rsidR="00E0443D" w:rsidTr="006E69E5">
        <w:trPr>
          <w:trHeight w:val="555"/>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政府部门财务报告（1分）</w:t>
            </w:r>
          </w:p>
        </w:tc>
        <w:tc>
          <w:tcPr>
            <w:tcW w:w="3510" w:type="dxa"/>
            <w:tcBorders>
              <w:top w:val="single" w:sz="4" w:space="0" w:color="000000"/>
              <w:left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按文件规定编制了政府部门财务报告得1分。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是</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w:t>
            </w:r>
          </w:p>
        </w:tc>
      </w:tr>
      <w:tr w:rsidR="00E0443D" w:rsidTr="006E69E5">
        <w:trPr>
          <w:trHeight w:val="1291"/>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收支管理（5分）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收入管理（2分）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收入管理规范性（2分）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财政拨款收入、事业收入、上级补助收入、下属单位上缴收入、经营收入及其他收入管理是否符合财务规定。达到目标值得2分。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符合财务规定</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810"/>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支出管理（3分）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支出管理规范性（2分）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基本支出和项目支出是否符合财务规定及相关制度办法的有关规定。达到目标值得2分。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符合相关规定</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020"/>
          <w:jc w:val="center"/>
        </w:trPr>
        <w:tc>
          <w:tcPr>
            <w:tcW w:w="794"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重点支出结构合理性（1分）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重点项目支出是否合理（重点支出保障率=（重点项目支出/项目总支出）×100%）；得分=指标实际完成值×1。</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sz w:val="20"/>
              </w:rPr>
              <w:t>重点支出保障率100%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w:t>
            </w:r>
          </w:p>
        </w:tc>
      </w:tr>
      <w:tr w:rsidR="00E0443D" w:rsidTr="006E69E5">
        <w:trPr>
          <w:trHeight w:val="1876"/>
          <w:jc w:val="center"/>
        </w:trPr>
        <w:tc>
          <w:tcPr>
            <w:tcW w:w="794" w:type="dxa"/>
            <w:vMerge w:val="restart"/>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财务管理（6分）</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制度完备（1.5分）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财务管理制度的完备性（1.5分）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sz w:val="20"/>
              </w:rPr>
              <w:t>财务管理制度完备</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1.5</w:t>
            </w:r>
          </w:p>
        </w:tc>
      </w:tr>
      <w:tr w:rsidR="00E0443D" w:rsidTr="006E69E5">
        <w:trPr>
          <w:trHeight w:val="84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采购管理（2分）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政府采购执行率（2分）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政府采购执行率=（实际政府采购金额/政府采购预算数）×100%；得分=指标实际完成值×2。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sz w:val="20"/>
              </w:rPr>
              <w:t>政府采购执行率100%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2956"/>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内部控制（2.5分）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内控制度有效性（2.5分）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内控制度健全、有效</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2.5</w:t>
            </w:r>
          </w:p>
        </w:tc>
      </w:tr>
      <w:tr w:rsidR="00E0443D" w:rsidTr="006E69E5">
        <w:trPr>
          <w:trHeight w:val="2161"/>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资产管理（4分）</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规范管理（2分）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资产管理规范性（2分）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等线" w:hAnsi="等线" w:cs="宋体"/>
                <w:sz w:val="20"/>
              </w:rPr>
            </w:pPr>
            <w:r>
              <w:rPr>
                <w:rFonts w:ascii="等线" w:hAnsi="等线"/>
                <w:sz w:val="20"/>
              </w:rPr>
              <w:t>资产管理规范、有序</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035"/>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有效使用（2分）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部门固定资产利用率（2分）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部门固定资产利用率=（部门实际在用固定资产总额/部门所有固定资产总额）×100%；得分=指标实际完成值×2。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hint="eastAsia"/>
                <w:sz w:val="20"/>
              </w:rPr>
              <w:t>部门固定资产利用率100%</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2</w:t>
            </w:r>
          </w:p>
        </w:tc>
      </w:tr>
      <w:tr w:rsidR="00E0443D" w:rsidTr="006E69E5">
        <w:trPr>
          <w:trHeight w:val="105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成本控制（12分）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机构运转成本调控（12分）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一般性支出变动率（5分）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一般性支出变动率=[（本年度一般性支出-上年度一般性支出） /本年度一般性支出]×100%；比率小于等于0，得5分；比率大于0，得0分。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Pr="00A21536" w:rsidRDefault="00E0443D" w:rsidP="006E69E5">
            <w:pPr>
              <w:jc w:val="center"/>
              <w:rPr>
                <w:rFonts w:ascii="宋体" w:hAnsi="宋体" w:cs="宋体"/>
                <w:sz w:val="20"/>
              </w:rPr>
            </w:pPr>
            <w:r w:rsidRPr="00A21536">
              <w:rPr>
                <w:rFonts w:ascii="宋体" w:hAnsi="宋体" w:hint="eastAsia"/>
                <w:sz w:val="20"/>
              </w:rPr>
              <w:t>一般支出变动率小于0</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5</w:t>
            </w:r>
          </w:p>
        </w:tc>
      </w:tr>
      <w:tr w:rsidR="00E0443D" w:rsidTr="006E69E5">
        <w:trPr>
          <w:trHeight w:val="990"/>
          <w:jc w:val="center"/>
        </w:trPr>
        <w:tc>
          <w:tcPr>
            <w:tcW w:w="794" w:type="dxa"/>
            <w:vMerge/>
            <w:tcBorders>
              <w:top w:val="single" w:sz="4" w:space="0" w:color="000000"/>
              <w:left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人均公用经费变动率（3分）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人均公用经费变动率=[（本年度人均公用经费-上年度人均公用经费） /上年度人均公用经费]×100%；比率小于等于0，得3分；比率大于0，得0分。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3</w:t>
            </w:r>
          </w:p>
        </w:tc>
      </w:tr>
      <w:tr w:rsidR="00E0443D" w:rsidTr="006E69E5">
        <w:trPr>
          <w:trHeight w:val="1215"/>
          <w:jc w:val="center"/>
        </w:trPr>
        <w:tc>
          <w:tcPr>
            <w:tcW w:w="794" w:type="dxa"/>
            <w:vMerge/>
            <w:tcBorders>
              <w:top w:val="single" w:sz="4" w:space="0" w:color="000000"/>
              <w:left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0443D" w:rsidRDefault="00E0443D" w:rsidP="006E69E5">
            <w:pPr>
              <w:jc w:val="center"/>
              <w:rPr>
                <w:rFonts w:ascii="宋体" w:hAnsi="宋体" w:cs="宋体"/>
                <w:color w:val="000000"/>
                <w:sz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“三公经费”变动率（4分）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“三公经费”变动率=[（本年度“三公经费”总额-上年度“三公经费”总额） /上年度“三公经费”总额]×100%；比率小于等于0，得4分；比率大于0，得0分。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4</w:t>
            </w:r>
          </w:p>
        </w:tc>
      </w:tr>
      <w:tr w:rsidR="00E0443D" w:rsidTr="006E69E5">
        <w:trPr>
          <w:trHeight w:val="720"/>
          <w:jc w:val="center"/>
        </w:trPr>
        <w:tc>
          <w:tcPr>
            <w:tcW w:w="794" w:type="dxa"/>
            <w:vMerge w:val="restart"/>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服务满意（8分）</w:t>
            </w:r>
          </w:p>
        </w:tc>
        <w:tc>
          <w:tcPr>
            <w:tcW w:w="825" w:type="dxa"/>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服务对象满意</w:t>
            </w:r>
          </w:p>
        </w:tc>
        <w:tc>
          <w:tcPr>
            <w:tcW w:w="795" w:type="dxa"/>
            <w:tcBorders>
              <w:top w:val="single" w:sz="4" w:space="0" w:color="000000"/>
              <w:left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公众满意度（4分）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公众满意度百分比</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95%（含）以上计4分；85%（含）-95%，计3分；75%（含）-85%，计1分；低于75%计0分。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4</w:t>
            </w:r>
          </w:p>
        </w:tc>
      </w:tr>
      <w:tr w:rsidR="00E0443D" w:rsidTr="006E69E5">
        <w:trPr>
          <w:trHeight w:val="840"/>
          <w:jc w:val="center"/>
        </w:trPr>
        <w:tc>
          <w:tcPr>
            <w:tcW w:w="794" w:type="dxa"/>
            <w:vMerge/>
            <w:tcBorders>
              <w:top w:val="single" w:sz="4" w:space="0" w:color="000000"/>
              <w:left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82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利益相关方满意</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利益相关方满意度（4分）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社会公众投诉率或投诉次数</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投诉率或投诉次数=0，得4分；投诉率或投诉次数&gt;0，得0分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ind w:firstLineChars="200" w:firstLine="400"/>
              <w:rPr>
                <w:rFonts w:ascii="宋体" w:hAnsi="宋体" w:cs="宋体"/>
                <w:color w:val="000000"/>
                <w:sz w:val="20"/>
              </w:rPr>
            </w:pPr>
            <w:r>
              <w:rPr>
                <w:rFonts w:ascii="宋体" w:hAnsi="宋体" w:cs="宋体" w:hint="eastAsia"/>
                <w:color w:val="000000"/>
                <w:sz w:val="20"/>
              </w:rPr>
              <w:t>4</w:t>
            </w:r>
          </w:p>
        </w:tc>
      </w:tr>
      <w:tr w:rsidR="00E0443D" w:rsidTr="006E69E5">
        <w:trPr>
          <w:trHeight w:val="1110"/>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可持续性（5分）</w:t>
            </w:r>
          </w:p>
        </w:tc>
        <w:tc>
          <w:tcPr>
            <w:tcW w:w="82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可持续性影响程度</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持续发挥作用的期限（5分）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公众受益覆盖面</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受益覆盖面达到95%（含）以上计5分；85%（含）-95%，计3分；75%（含）-85%，计1分；低于75%计0分。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5</w:t>
            </w:r>
          </w:p>
        </w:tc>
      </w:tr>
      <w:tr w:rsidR="00E0443D" w:rsidTr="006E69E5">
        <w:trPr>
          <w:trHeight w:val="2731"/>
          <w:jc w:val="center"/>
        </w:trPr>
        <w:tc>
          <w:tcPr>
            <w:tcW w:w="794"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b/>
                <w:color w:val="000000"/>
                <w:sz w:val="20"/>
              </w:rPr>
            </w:pPr>
            <w:r>
              <w:rPr>
                <w:rFonts w:ascii="宋体" w:hAnsi="宋体" w:cs="宋体" w:hint="eastAsia"/>
                <w:b/>
                <w:color w:val="000000"/>
                <w:kern w:val="0"/>
                <w:sz w:val="20"/>
              </w:rPr>
              <w:t>减分项</w:t>
            </w:r>
          </w:p>
        </w:tc>
        <w:tc>
          <w:tcPr>
            <w:tcW w:w="82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监督检查、审计、绩效评价中发现的问题</w:t>
            </w:r>
          </w:p>
        </w:tc>
        <w:tc>
          <w:tcPr>
            <w:tcW w:w="79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监督检查、审计、绩效评价中发现的问题</w:t>
            </w:r>
          </w:p>
        </w:tc>
        <w:tc>
          <w:tcPr>
            <w:tcW w:w="1336"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color w:val="000000"/>
                <w:sz w:val="20"/>
              </w:rPr>
            </w:pPr>
            <w:r>
              <w:rPr>
                <w:rFonts w:ascii="宋体" w:hAnsi="宋体" w:cs="宋体" w:hint="eastAsia"/>
                <w:color w:val="000000"/>
                <w:kern w:val="0"/>
                <w:sz w:val="20"/>
              </w:rPr>
              <w:t>在市级以上组织的监督检查、审计、绩效评价中发现部门资金管理方面存在问题或项目绩效目标未达成的，一个问题扣1分，不重复扣分。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left"/>
              <w:rPr>
                <w:rFonts w:ascii="宋体" w:hAnsi="宋体" w:cs="宋体"/>
                <w:color w:val="000000"/>
                <w:sz w:val="20"/>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p>
        </w:tc>
      </w:tr>
      <w:tr w:rsidR="00E0443D" w:rsidTr="006E69E5">
        <w:trPr>
          <w:trHeight w:val="450"/>
          <w:jc w:val="center"/>
        </w:trPr>
        <w:tc>
          <w:tcPr>
            <w:tcW w:w="8625" w:type="dxa"/>
            <w:gridSpan w:val="6"/>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center"/>
              <w:textAlignment w:val="center"/>
              <w:rPr>
                <w:rFonts w:ascii="宋体" w:hAnsi="宋体" w:cs="宋体"/>
                <w:b/>
                <w:color w:val="000000"/>
                <w:sz w:val="20"/>
              </w:rPr>
            </w:pPr>
            <w:r>
              <w:rPr>
                <w:rFonts w:ascii="宋体" w:hAnsi="宋体" w:cs="宋体" w:hint="eastAsia"/>
                <w:b/>
                <w:color w:val="000000"/>
                <w:kern w:val="0"/>
                <w:sz w:val="20"/>
              </w:rPr>
              <w:t>总     分</w:t>
            </w:r>
          </w:p>
        </w:tc>
        <w:tc>
          <w:tcPr>
            <w:tcW w:w="915" w:type="dxa"/>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jc w:val="center"/>
              <w:rPr>
                <w:rFonts w:ascii="宋体" w:hAnsi="宋体" w:cs="宋体"/>
                <w:color w:val="000000"/>
                <w:sz w:val="20"/>
              </w:rPr>
            </w:pPr>
            <w:r>
              <w:rPr>
                <w:rFonts w:ascii="宋体" w:hAnsi="宋体" w:cs="宋体" w:hint="eastAsia"/>
                <w:color w:val="000000"/>
                <w:sz w:val="20"/>
              </w:rPr>
              <w:t>98.5</w:t>
            </w:r>
          </w:p>
        </w:tc>
      </w:tr>
      <w:tr w:rsidR="00E0443D" w:rsidTr="006E69E5">
        <w:trPr>
          <w:trHeight w:val="660"/>
          <w:jc w:val="center"/>
        </w:trPr>
        <w:tc>
          <w:tcPr>
            <w:tcW w:w="9540" w:type="dxa"/>
            <w:gridSpan w:val="7"/>
            <w:tcBorders>
              <w:top w:val="single" w:sz="4" w:space="0" w:color="000000"/>
              <w:left w:val="single" w:sz="4" w:space="0" w:color="000000"/>
              <w:bottom w:val="single" w:sz="4" w:space="0" w:color="000000"/>
              <w:right w:val="single" w:sz="4" w:space="0" w:color="000000"/>
            </w:tcBorders>
            <w:vAlign w:val="center"/>
          </w:tcPr>
          <w:p w:rsidR="00E0443D" w:rsidRDefault="00E0443D" w:rsidP="006E69E5">
            <w:pPr>
              <w:widowControl/>
              <w:jc w:val="left"/>
              <w:textAlignment w:val="center"/>
              <w:rPr>
                <w:rFonts w:ascii="宋体" w:hAnsi="宋体" w:cs="宋体"/>
                <w:color w:val="000000"/>
                <w:sz w:val="20"/>
              </w:rPr>
            </w:pPr>
            <w:r>
              <w:rPr>
                <w:rFonts w:ascii="宋体" w:hAnsi="宋体" w:cs="宋体" w:hint="eastAsia"/>
                <w:color w:val="000000"/>
                <w:kern w:val="0"/>
                <w:sz w:val="20"/>
              </w:rPr>
              <w:t>注：重点工作、服务满意、可持续性这三项单位根据年初目标实际情况设定指标和评分标准。</w:t>
            </w:r>
          </w:p>
        </w:tc>
      </w:tr>
    </w:tbl>
    <w:p w:rsidR="00480A6F" w:rsidRPr="00E0443D" w:rsidRDefault="00480A6F"/>
    <w:sectPr w:rsidR="00480A6F" w:rsidRPr="00E0443D" w:rsidSect="00480A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Segoe Print"/>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0443D"/>
    <w:rsid w:val="00480A6F"/>
    <w:rsid w:val="00BA5BA6"/>
    <w:rsid w:val="00E044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43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483</Words>
  <Characters>2754</Characters>
  <Application>Microsoft Office Word</Application>
  <DocSecurity>0</DocSecurity>
  <Lines>22</Lines>
  <Paragraphs>6</Paragraphs>
  <ScaleCrop>false</ScaleCrop>
  <Company>Microsoft</Company>
  <LinksUpToDate>false</LinksUpToDate>
  <CharactersWithSpaces>3231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2021-05-18T03:23:00Z</dcterms:created>
  <dcterms:modified xsi:type="dcterms:W3CDTF">2021-05-18T03:24:00Z</dcterms:modified>
</cp:coreProperties>
</file>