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83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75"/>
        <w:gridCol w:w="786"/>
        <w:gridCol w:w="964"/>
        <w:gridCol w:w="1273"/>
        <w:gridCol w:w="3022"/>
        <w:gridCol w:w="908"/>
        <w:gridCol w:w="7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8336" w:type="dxa"/>
            <w:gridSpan w:val="7"/>
            <w:tcBorders>
              <w:bottom w:val="single" w:color="000000" w:sz="4" w:space="0"/>
            </w:tcBorders>
            <w:noWrap w:val="0"/>
            <w:vAlign w:val="center"/>
          </w:tcPr>
          <w:p>
            <w:pPr>
              <w:keepNext w:val="0"/>
              <w:keepLines w:val="0"/>
              <w:widowControl/>
              <w:suppressLineNumbers w:val="0"/>
              <w:jc w:val="center"/>
              <w:textAlignment w:val="center"/>
              <w:rPr>
                <w:rFonts w:ascii="黑体" w:hAnsi="宋体" w:eastAsia="黑体" w:cs="黑体"/>
                <w:b/>
                <w:i w:val="0"/>
                <w:color w:val="000000"/>
                <w:sz w:val="32"/>
                <w:szCs w:val="32"/>
                <w:u w:val="none"/>
              </w:rPr>
            </w:pPr>
            <w:r>
              <w:rPr>
                <w:rFonts w:hint="eastAsia" w:ascii="黑体" w:hAnsi="宋体" w:eastAsia="黑体" w:cs="黑体"/>
                <w:b/>
                <w:i w:val="0"/>
                <w:color w:val="000000"/>
                <w:kern w:val="0"/>
                <w:sz w:val="32"/>
                <w:szCs w:val="32"/>
                <w:u w:val="none"/>
                <w:lang w:val="en-US" w:eastAsia="zh-CN" w:bidi="ar"/>
              </w:rPr>
              <w:t>部门整体支出绩效评价指标体系评分表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一级指标</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二级指标</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三级指标</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四级指标</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评分标准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评分依据及简要说明</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00" w:hRule="atLeast"/>
        </w:trPr>
        <w:tc>
          <w:tcPr>
            <w:tcW w:w="67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履职效能（35分）</w:t>
            </w: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工作目标（5分）</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目标设定（4分）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目标依据充分性（2分）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是否依据法律法规、社会经济发展的总体规划设定；②是否符合部门“三定”方案确定的部门工作职责；③是否符合部门制定的中长期规划及年度工作计划；④是否具有科学性和前瞻性。每项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目标设定符合规定</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9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工作目标合理性（2分）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①是否符合客观实际是否可实现、可完成；②是否将部门整体的工作目标细化分解，使其为可衡量、可比较。每项达到目标值得1分。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目标设定科实现可衡量</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3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目标管理（1分）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目标管理有效性（1分）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①是否有对目标进行责任分解的相关工作机制；②目标管理工作机制是否科学、合理，是否能有效保障目标执行和落地。每项达到目标值得0.5分。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目标管理科学合理</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整体工作（15分）</w:t>
            </w:r>
          </w:p>
        </w:tc>
        <w:tc>
          <w:tcPr>
            <w:tcW w:w="964"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整体工作完成（15分）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总体工作完成率（15分）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总体工作完成率=单位年度工作要点已完成的数量/单位年度工作要点工作总数量；得分=指标实际完成值×15。</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单位年度工作要点全部完成</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5"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重点工作（15分）</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等线" w:hAnsi="等线" w:eastAsia="等线" w:cs="等线"/>
                <w:i w:val="0"/>
                <w:color w:val="000000"/>
                <w:sz w:val="20"/>
                <w:szCs w:val="20"/>
                <w:u w:val="none"/>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kern w:val="0"/>
                <w:sz w:val="20"/>
                <w:szCs w:val="20"/>
                <w:u w:val="none"/>
                <w:lang w:val="en-US" w:eastAsia="zh-CN" w:bidi="ar"/>
              </w:rPr>
            </w:pPr>
            <w:r>
              <w:rPr>
                <w:rFonts w:hint="default" w:ascii="等线" w:hAnsi="等线" w:eastAsia="等线" w:cs="等线"/>
                <w:i w:val="0"/>
                <w:color w:val="000000"/>
                <w:kern w:val="0"/>
                <w:sz w:val="20"/>
                <w:szCs w:val="20"/>
                <w:u w:val="none"/>
                <w:lang w:val="en-US" w:eastAsia="zh-CN" w:bidi="ar"/>
              </w:rPr>
              <w:t>重点工作完成率</w:t>
            </w:r>
            <w:r>
              <w:rPr>
                <w:rFonts w:hint="eastAsia" w:ascii="等线" w:hAnsi="等线" w:eastAsia="等线" w:cs="等线"/>
                <w:i w:val="0"/>
                <w:color w:val="000000"/>
                <w:kern w:val="0"/>
                <w:sz w:val="20"/>
                <w:szCs w:val="20"/>
                <w:u w:val="none"/>
                <w:lang w:val="en-US" w:eastAsia="zh-CN" w:bidi="ar"/>
              </w:rPr>
              <w:t>在90%以上</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等线" w:hAnsi="等线" w:eastAsia="等线" w:cs="等线"/>
                <w:i w:val="0"/>
                <w:color w:val="000000"/>
                <w:sz w:val="20"/>
                <w:szCs w:val="20"/>
                <w:u w:val="none"/>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15" w:hRule="atLeast"/>
        </w:trPr>
        <w:tc>
          <w:tcPr>
            <w:tcW w:w="67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管理效率（52分）</w:t>
            </w: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预算管理（25分）</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预算编制（6分）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预算编制完整性（4分）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收入预算编制是否足额，是否将所有部门预算收入全部编入收入预算；②支出预算编制是否科学，是否是按人员经费按标准、日常公用经费按定额、专项经费按项目分别编制。③是否所有财政性资金及其配套资金采购货物、工程和服务支出编制了政府采购预算。④三公经费预算编制只减不增。每项达到目标值得1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部门预算收入全部编入收入预算。支出预算编制科学，按项目分别编制</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75"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预算科目设置合理性（2分）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①功能科目编制是否科学合理，编制到“项”；②经济科目的编制是否科学合理，编排至“款”。每项达到目标值得1分。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预算编制科学合理</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9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预算执行（16分）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预算执行率（12分）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预算执行率=（预算执行数/预算数）×100%。得分=指标实际完成值×12。其中，预算执行数指部门本年度实际执行的预算数；预算数指财政部门批复的本年度部门的预算数。</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预算执行率为100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4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预算调整率（2分）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调整率=（预算调整数/预算数）×100%。得分=指标实际完成值×2。预算调整数：部门在本年度内涉及预算的追加、追减或结构调整的资金总和（因落实国家政策、发生不可抗力、上级部门或本级党委政府临时交办而产生的调整除外）。比率等于0，得满分；比率在0%-10%之间的，得1.5分；比率在10%-20%之间的，得1分；比率在20%-30%之间的，得0.5分；比率大于30%，得0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5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结转结余变动率（2分）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结转结余变动率=[（本年度累计结转结余资金总额-上年度累计结转结余资金总额）/上年度累计结转结余资金总额]×100%；比率小于等于0，得2分；比率大于0，得0分。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结转结余变动率为1.27%</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15"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部门决算（1分）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部门决算编报质量（1分）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①是否按照相关编审要求报送；②部门决算编报的单位范围和资金范围是否符合相关要求。每项达到目标值得0.5分。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及时报送决算且符合相关要求</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预算改革（2分）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三年滚动财政规划（1分）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按文件规定编制了本部门（单位）中期财政规划得1分。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符合规定</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政府部门财务报告（1分）</w:t>
            </w:r>
          </w:p>
        </w:tc>
        <w:tc>
          <w:tcPr>
            <w:tcW w:w="3022"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按文件规定编制了政府部门财务报告得1分。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及时编制</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收支管理（5分）</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收入管理（2分）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收入管理规范性（2分）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财政拨款收入、事业收入、上级补助收入、下属单位上缴收入、经营收入及其他收入管理是否符合财务规定。达到目标值得2分。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符合规定</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支出管理（3分）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支出管理规范性（2分）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基本支出和项目支出是否符合财务规定及相关制度办法的有关规定。达到目标值得2分。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符合规定</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3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重点支出结构合理性（1分）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重点项目支出是否合理（重点支出保障率=（重点项目支出/项目总支出）×100%）；得分=指标实际完成值×1。</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合理</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800" w:hRule="atLeast"/>
        </w:trPr>
        <w:tc>
          <w:tcPr>
            <w:tcW w:w="67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管理效率（52分）</w:t>
            </w: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财务管理（6分）</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制度完备（1.5分）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财务管理制度的完备性（1.5分）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资金的拨付和使用是否有比较完整的审批程序和手续；②财务核算符合财经法规和财务管理制度及专项资金管理有关规定；③部门基础数据信息和会计信息资料的真实性、完整性、准确性，能否对预算管理工作起到很好的支撑作用。每项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程序合理，符合规定</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采购管理（2分）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政府采购执行率（2分）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政府采购执行率=（实际政府采购金额/政府采购预算数）×100%；得分=指标实际完成值×2。</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严格执行</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2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内部控制（2.5分）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内控制度有效性（2.5分）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预算业务控制：单位是否建立健全预算编制、审批、执行、决算与评价等预算内部管理制度；②收支业务控制：单位是否建立健全收入、支出内部管理制度；③政府采购业务控制：单位是否建立健全政府采购预算与计划管理、政府采购活动管理、验收管理等政府采购内部管理制度；④资产控制：单位是否建立健全资产内部管理制度；上述每项达到目标值得0.5分。⑤上述内部控制管理制度是否执行到位有效。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严格进行内部控制</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01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资产管理（4分）</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规范管理（2分）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资产管理规范性（2分）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资产保存是否完整，是否定期对固定资产进行清查，是否有因管理不当发生严重资产损失和丢失的情况；②是否存在超标准配置资产；③资产使用是否规范，是否存在未经批准擅自出租、出借资产行为；④资产处置是否规范，是否存在不按要求进行报批或资产不公开处置行为。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资产管理规范</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4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有效使用（2分）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部门固定资产利用率（2分）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部门固定资产利用率=（部门实际在用固定资产总额/部门所有固定资产总额）×100%；得分=指标实际完成值×2。</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利用率100%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5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成本控制（12分）</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机构运转成本调控（12分）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一般性支出变动率（5分）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一般性支出变动率=[（本年度一般性支出-上年度一般性支出） /本年度一般性支出]×100%；比率小于等于0，得5分；比率大于0，得0分。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比率小于0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9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人均公用经费变动率（3分）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人均公用经费变动率=[（本年度人均公用经费-上年度人均公用经费） /上年度人均公用经费]×100%；比率小于等于0，得3分；比率大于0，得0分。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比率小于0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15"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“三公经费”变动率（4分）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“三公经费”变动率=[（本年度“三公经费”总额-上年度“三公经费”总额） /上年度“三公经费”总额]×100%；比率小于等于0，得4分；比率大于0，得0分。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比率小于0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67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服务满意（8分）</w:t>
            </w:r>
          </w:p>
        </w:tc>
        <w:tc>
          <w:tcPr>
            <w:tcW w:w="786"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服务对象满意</w:t>
            </w:r>
          </w:p>
        </w:tc>
        <w:tc>
          <w:tcPr>
            <w:tcW w:w="964" w:type="dxa"/>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等线" w:hAnsi="等线" w:eastAsia="等线" w:cs="等线"/>
                <w:i w:val="0"/>
                <w:color w:val="000000"/>
                <w:sz w:val="20"/>
                <w:szCs w:val="20"/>
                <w:u w:val="none"/>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公众满意95%以上</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利益相关方满意</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等线" w:hAnsi="等线" w:eastAsia="等线" w:cs="等线"/>
                <w:i w:val="0"/>
                <w:color w:val="000000"/>
                <w:sz w:val="20"/>
                <w:szCs w:val="20"/>
                <w:u w:val="none"/>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投诉为0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可持续性（5分）</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等线" w:hAnsi="等线" w:eastAsia="等线" w:cs="等线"/>
                <w:i w:val="0"/>
                <w:color w:val="000000"/>
                <w:sz w:val="20"/>
                <w:szCs w:val="20"/>
                <w:u w:val="none"/>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覆盖面达95%以上</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010" w:hRule="atLeast"/>
        </w:trPr>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b/>
                <w:i w:val="0"/>
                <w:color w:val="000000"/>
                <w:sz w:val="20"/>
                <w:szCs w:val="20"/>
                <w:u w:val="none"/>
              </w:rPr>
            </w:pPr>
            <w:r>
              <w:rPr>
                <w:rFonts w:hint="default" w:ascii="等线" w:hAnsi="等线" w:eastAsia="等线" w:cs="等线"/>
                <w:b/>
                <w:i w:val="0"/>
                <w:color w:val="000000"/>
                <w:kern w:val="0"/>
                <w:sz w:val="20"/>
                <w:szCs w:val="20"/>
                <w:u w:val="none"/>
                <w:lang w:val="en-US" w:eastAsia="zh-CN" w:bidi="ar"/>
              </w:rPr>
              <w:t>减分项</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监督检查、审计、绩效评价中发现的问题</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监督检查、审计、绩效评价中发现的问题</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在市级以上组织的监督检查、审计、绩效评价中发现部门资金管理方面存在问题或项目绩效目标未达成的，一个问题扣1分，不重复扣分。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等线" w:hAnsi="等线" w:eastAsia="等线" w:cs="等线"/>
                <w:i w:val="0"/>
                <w:color w:val="000000"/>
                <w:sz w:val="20"/>
                <w:szCs w:val="20"/>
                <w:u w:val="none"/>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无</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7628"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b/>
                <w:i w:val="0"/>
                <w:color w:val="000000"/>
                <w:sz w:val="20"/>
                <w:szCs w:val="20"/>
                <w:u w:val="none"/>
              </w:rPr>
            </w:pPr>
            <w:r>
              <w:rPr>
                <w:rFonts w:hint="default" w:ascii="等线" w:hAnsi="等线" w:eastAsia="等线" w:cs="等线"/>
                <w:b/>
                <w:i w:val="0"/>
                <w:color w:val="000000"/>
                <w:kern w:val="0"/>
                <w:sz w:val="20"/>
                <w:szCs w:val="20"/>
                <w:u w:val="none"/>
                <w:lang w:val="en-US" w:eastAsia="zh-CN" w:bidi="ar"/>
              </w:rPr>
              <w:t>总分</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宋体" w:cs="等线"/>
                <w:i w:val="0"/>
                <w:color w:val="000000"/>
                <w:sz w:val="20"/>
                <w:szCs w:val="20"/>
                <w:u w:val="none"/>
                <w:lang w:val="en-US" w:eastAsia="zh-CN"/>
              </w:rPr>
            </w:pPr>
            <w:r>
              <w:rPr>
                <w:rFonts w:hint="eastAsia" w:ascii="等线" w:hAnsi="等线" w:cs="等线"/>
                <w:i w:val="0"/>
                <w:color w:val="000000"/>
                <w:sz w:val="20"/>
                <w:szCs w:val="20"/>
                <w:u w:val="none"/>
                <w:lang w:val="en-US" w:eastAsia="zh-CN"/>
              </w:rPr>
              <w:t>97.5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336"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注：重点工作、服务满意、可持续性这三项单位根据年初目标实际情况设定指标和评分标准。</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79221A"/>
    <w:rsid w:val="47906407"/>
    <w:rsid w:val="7CF909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2021-05-20T07:24:00Z</dcterms:created>
  <dc:creator>Administrator</dc:creator>
  <cp:lastModifiedBy>Administrator</cp:lastModifiedBy>
  <dcterms:modified xsi:type="dcterms:W3CDTF">2021-05-20T07:29:35Z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