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lang w:eastAsia="zh-CN"/>
        </w:rPr>
        <w:t>大余县卫生和计划生育委员会</w:t>
      </w:r>
      <w:r>
        <w:rPr>
          <w:rFonts w:hint="eastAsia" w:asciiTheme="minorEastAsia" w:hAnsiTheme="minorEastAsia" w:eastAsiaTheme="minorEastAsia" w:cstheme="minorEastAsia"/>
          <w:b/>
          <w:bCs/>
          <w:sz w:val="32"/>
          <w:szCs w:val="32"/>
        </w:rPr>
        <w:t>201</w:t>
      </w:r>
      <w:r>
        <w:rPr>
          <w:rFonts w:hint="eastAsia" w:asciiTheme="minorEastAsia" w:hAnsiTheme="minorEastAsia" w:eastAsiaTheme="minorEastAsia" w:cstheme="minorEastAsia"/>
          <w:b/>
          <w:bCs/>
          <w:sz w:val="32"/>
          <w:szCs w:val="32"/>
          <w:lang w:val="en-US" w:eastAsia="zh-CN"/>
        </w:rPr>
        <w:t>7</w:t>
      </w:r>
      <w:r>
        <w:rPr>
          <w:rFonts w:hint="eastAsia" w:asciiTheme="minorEastAsia" w:hAnsiTheme="minorEastAsia" w:eastAsiaTheme="minorEastAsia" w:cstheme="minorEastAsia"/>
          <w:b/>
          <w:bCs/>
          <w:sz w:val="32"/>
          <w:szCs w:val="32"/>
        </w:rPr>
        <w:t>年度部门决算</w:t>
      </w:r>
    </w:p>
    <w:p>
      <w:pPr>
        <w:jc w:val="center"/>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目</w:t>
      </w:r>
      <w:r>
        <w:rPr>
          <w:rFonts w:hint="eastAsia" w:asciiTheme="minorEastAsia" w:hAnsiTheme="minorEastAsia" w:eastAsiaTheme="minorEastAsia" w:cstheme="minorEastAsia"/>
          <w:b/>
          <w:sz w:val="32"/>
          <w:szCs w:val="32"/>
          <w:lang w:val="en-US" w:eastAsia="zh-CN"/>
        </w:rPr>
        <w:t xml:space="preserve">   </w:t>
      </w:r>
      <w:r>
        <w:rPr>
          <w:rFonts w:hint="eastAsia" w:asciiTheme="minorEastAsia" w:hAnsiTheme="minorEastAsia" w:eastAsiaTheme="minorEastAsia" w:cstheme="minorEastAsia"/>
          <w:b/>
          <w:sz w:val="32"/>
          <w:szCs w:val="32"/>
        </w:rPr>
        <w:t>录</w:t>
      </w:r>
    </w:p>
    <w:p>
      <w:pPr>
        <w:rPr>
          <w:rFonts w:hint="eastAsia" w:asciiTheme="minorEastAsia" w:hAnsiTheme="minorEastAsia" w:eastAsiaTheme="minorEastAsia" w:cstheme="minorEastAsia"/>
          <w:b/>
          <w:sz w:val="32"/>
          <w:szCs w:val="32"/>
        </w:rPr>
      </w:pPr>
    </w:p>
    <w:p>
      <w:pPr>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第一部分   概况</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一  部门主要职</w:t>
      </w:r>
      <w:r>
        <w:rPr>
          <w:rFonts w:hint="eastAsia" w:asciiTheme="minorEastAsia" w:hAnsiTheme="minorEastAsia" w:eastAsiaTheme="minorEastAsia" w:cstheme="minorEastAsia"/>
          <w:sz w:val="32"/>
          <w:szCs w:val="32"/>
          <w:lang w:eastAsia="zh-CN"/>
        </w:rPr>
        <w:t>责</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二  部门</w:t>
      </w:r>
      <w:r>
        <w:rPr>
          <w:rFonts w:hint="eastAsia" w:asciiTheme="minorEastAsia" w:hAnsiTheme="minorEastAsia" w:eastAsiaTheme="minorEastAsia" w:cstheme="minorEastAsia"/>
          <w:sz w:val="32"/>
          <w:szCs w:val="32"/>
          <w:lang w:eastAsia="zh-CN"/>
        </w:rPr>
        <w:t>基本情况</w:t>
      </w:r>
    </w:p>
    <w:p>
      <w:pPr>
        <w:rPr>
          <w:rFonts w:hint="eastAsia" w:asciiTheme="minorEastAsia" w:hAnsiTheme="minorEastAsia" w:eastAsiaTheme="minorEastAsia" w:cstheme="minorEastAsia"/>
          <w:b/>
          <w:sz w:val="32"/>
          <w:szCs w:val="32"/>
          <w:lang w:eastAsia="zh-CN"/>
        </w:rPr>
      </w:pPr>
      <w:r>
        <w:rPr>
          <w:rFonts w:hint="eastAsia" w:asciiTheme="minorEastAsia" w:hAnsiTheme="minorEastAsia" w:eastAsiaTheme="minorEastAsia" w:cstheme="minorEastAsia"/>
          <w:b/>
          <w:sz w:val="32"/>
          <w:szCs w:val="32"/>
        </w:rPr>
        <w:t>第二部分 201</w:t>
      </w:r>
      <w:r>
        <w:rPr>
          <w:rFonts w:hint="eastAsia" w:asciiTheme="minorEastAsia" w:hAnsiTheme="minorEastAsia" w:eastAsiaTheme="minorEastAsia" w:cstheme="minorEastAsia"/>
          <w:b/>
          <w:sz w:val="32"/>
          <w:szCs w:val="32"/>
          <w:lang w:val="en-US" w:eastAsia="zh-CN"/>
        </w:rPr>
        <w:t>7</w:t>
      </w:r>
      <w:r>
        <w:rPr>
          <w:rFonts w:hint="eastAsia" w:asciiTheme="minorEastAsia" w:hAnsiTheme="minorEastAsia" w:eastAsiaTheme="minorEastAsia" w:cstheme="minorEastAsia"/>
          <w:b/>
          <w:sz w:val="32"/>
          <w:szCs w:val="32"/>
        </w:rPr>
        <w:t>年</w:t>
      </w:r>
      <w:r>
        <w:rPr>
          <w:rFonts w:hint="eastAsia" w:asciiTheme="minorEastAsia" w:hAnsiTheme="minorEastAsia" w:eastAsiaTheme="minorEastAsia" w:cstheme="minorEastAsia"/>
          <w:b/>
          <w:sz w:val="32"/>
          <w:szCs w:val="32"/>
          <w:lang w:eastAsia="zh-CN"/>
        </w:rPr>
        <w:t>度</w:t>
      </w:r>
      <w:r>
        <w:rPr>
          <w:rFonts w:hint="eastAsia" w:asciiTheme="minorEastAsia" w:hAnsiTheme="minorEastAsia" w:eastAsiaTheme="minorEastAsia" w:cstheme="minorEastAsia"/>
          <w:b/>
          <w:sz w:val="32"/>
          <w:szCs w:val="32"/>
        </w:rPr>
        <w:t>部门决算</w:t>
      </w:r>
      <w:r>
        <w:rPr>
          <w:rFonts w:hint="eastAsia" w:asciiTheme="minorEastAsia" w:hAnsiTheme="minorEastAsia" w:eastAsiaTheme="minorEastAsia" w:cstheme="minorEastAsia"/>
          <w:b/>
          <w:sz w:val="32"/>
          <w:szCs w:val="32"/>
          <w:lang w:eastAsia="zh-CN"/>
        </w:rPr>
        <w:t>表</w:t>
      </w:r>
    </w:p>
    <w:p>
      <w:pPr>
        <w:pStyle w:val="11"/>
        <w:numPr>
          <w:ilvl w:val="0"/>
          <w:numId w:val="1"/>
        </w:numPr>
        <w:ind w:firstLineChars="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收入支出决算总表</w:t>
      </w:r>
    </w:p>
    <w:p>
      <w:pPr>
        <w:pStyle w:val="11"/>
        <w:numPr>
          <w:ilvl w:val="0"/>
          <w:numId w:val="1"/>
        </w:numPr>
        <w:ind w:firstLineChars="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收入决算表</w:t>
      </w:r>
    </w:p>
    <w:p>
      <w:pPr>
        <w:pStyle w:val="11"/>
        <w:numPr>
          <w:ilvl w:val="0"/>
          <w:numId w:val="1"/>
        </w:numPr>
        <w:ind w:firstLineChars="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支出决算表</w:t>
      </w:r>
    </w:p>
    <w:p>
      <w:pPr>
        <w:pStyle w:val="11"/>
        <w:numPr>
          <w:ilvl w:val="0"/>
          <w:numId w:val="1"/>
        </w:numPr>
        <w:ind w:firstLineChars="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财政拨款收入支出决算总表</w:t>
      </w:r>
    </w:p>
    <w:p>
      <w:pPr>
        <w:pStyle w:val="11"/>
        <w:numPr>
          <w:ilvl w:val="0"/>
          <w:numId w:val="1"/>
        </w:numPr>
        <w:ind w:firstLineChars="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一般公共预算财政拨款支出决算表</w:t>
      </w:r>
    </w:p>
    <w:p>
      <w:pPr>
        <w:pStyle w:val="11"/>
        <w:numPr>
          <w:ilvl w:val="0"/>
          <w:numId w:val="1"/>
        </w:numPr>
        <w:ind w:firstLineChars="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一般公共预算财政拨款基本支出决算表</w:t>
      </w:r>
    </w:p>
    <w:p>
      <w:pPr>
        <w:pStyle w:val="11"/>
        <w:numPr>
          <w:ilvl w:val="0"/>
          <w:numId w:val="1"/>
        </w:numPr>
        <w:ind w:firstLineChars="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一般公共预算</w:t>
      </w:r>
      <w:r>
        <w:rPr>
          <w:rFonts w:hint="eastAsia" w:asciiTheme="minorEastAsia" w:hAnsiTheme="minorEastAsia" w:eastAsiaTheme="minorEastAsia" w:cstheme="minorEastAsia"/>
          <w:sz w:val="32"/>
          <w:szCs w:val="32"/>
          <w:lang w:eastAsia="zh-CN"/>
        </w:rPr>
        <w:t>财政拨款</w:t>
      </w:r>
      <w:r>
        <w:rPr>
          <w:rFonts w:hint="eastAsia" w:asciiTheme="minorEastAsia" w:hAnsiTheme="minorEastAsia" w:eastAsiaTheme="minorEastAsia" w:cstheme="minorEastAsia"/>
          <w:sz w:val="32"/>
          <w:szCs w:val="32"/>
        </w:rPr>
        <w:t>“三公”经费支出决算表</w:t>
      </w:r>
    </w:p>
    <w:p>
      <w:pPr>
        <w:pStyle w:val="11"/>
        <w:numPr>
          <w:ilvl w:val="0"/>
          <w:numId w:val="1"/>
        </w:numPr>
        <w:ind w:firstLineChars="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政府性基金预算财政拨款收入支出决算表</w:t>
      </w:r>
    </w:p>
    <w:p>
      <w:pPr>
        <w:pStyle w:val="11"/>
        <w:numPr>
          <w:ilvl w:val="0"/>
          <w:numId w:val="1"/>
        </w:numPr>
        <w:ind w:firstLineChars="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国有资产占用情况表</w:t>
      </w:r>
    </w:p>
    <w:p>
      <w:pPr>
        <w:widowControl/>
        <w:spacing w:line="600" w:lineRule="exact"/>
        <w:jc w:val="left"/>
        <w:rPr>
          <w:rFonts w:hint="eastAsia"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rPr>
        <w:t>第三部分  2017年度部门决算情况说明</w:t>
      </w:r>
    </w:p>
    <w:p>
      <w:pPr>
        <w:widowControl/>
        <w:spacing w:line="600" w:lineRule="exact"/>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一、收入决算情况说明</w:t>
      </w:r>
    </w:p>
    <w:p>
      <w:pPr>
        <w:widowControl/>
        <w:spacing w:line="600" w:lineRule="exact"/>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二、支出决算情况说明</w:t>
      </w:r>
    </w:p>
    <w:p>
      <w:pPr>
        <w:widowControl/>
        <w:spacing w:line="600" w:lineRule="exact"/>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三、财政拨款支出决算情况说明</w:t>
      </w:r>
    </w:p>
    <w:p>
      <w:pPr>
        <w:widowControl/>
        <w:spacing w:line="600" w:lineRule="exact"/>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四、一般公共预算财政拨款基本支出决算情况说明</w:t>
      </w:r>
    </w:p>
    <w:p>
      <w:pPr>
        <w:widowControl/>
        <w:spacing w:line="600" w:lineRule="exact"/>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五、一般公共预算财政拨款“三公”经费支出决算情况说明</w:t>
      </w:r>
    </w:p>
    <w:p>
      <w:pPr>
        <w:widowControl/>
        <w:spacing w:line="600" w:lineRule="exact"/>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六、机关运行经费支出情况说明</w:t>
      </w:r>
    </w:p>
    <w:p>
      <w:pPr>
        <w:widowControl/>
        <w:spacing w:line="600" w:lineRule="exact"/>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七、政府采购支出情况说明</w:t>
      </w:r>
    </w:p>
    <w:p>
      <w:pPr>
        <w:widowControl/>
        <w:spacing w:line="600" w:lineRule="exact"/>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八、预算绩效情况说明</w:t>
      </w:r>
    </w:p>
    <w:p>
      <w:pPr>
        <w:widowControl/>
        <w:spacing w:line="600" w:lineRule="exact"/>
        <w:jc w:val="left"/>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第四部分  名词解释</w:t>
      </w:r>
    </w:p>
    <w:p>
      <w:pPr>
        <w:rPr>
          <w:rFonts w:hint="eastAsia" w:asciiTheme="minorEastAsia" w:hAnsiTheme="minorEastAsia" w:eastAsiaTheme="minorEastAsia" w:cstheme="minorEastAsia"/>
          <w:b/>
          <w:sz w:val="32"/>
          <w:szCs w:val="32"/>
        </w:rPr>
      </w:pPr>
    </w:p>
    <w:p>
      <w:pPr>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 xml:space="preserve">第一部分 </w:t>
      </w:r>
      <w:r>
        <w:rPr>
          <w:rFonts w:hint="eastAsia" w:asciiTheme="minorEastAsia" w:hAnsiTheme="minorEastAsia" w:eastAsiaTheme="minorEastAsia" w:cstheme="minorEastAsia"/>
          <w:b/>
          <w:bCs/>
          <w:sz w:val="32"/>
          <w:szCs w:val="32"/>
          <w:lang w:eastAsia="zh-CN"/>
        </w:rPr>
        <w:t>大余县卫生和计划生育委员会</w:t>
      </w:r>
      <w:r>
        <w:rPr>
          <w:rFonts w:hint="eastAsia" w:asciiTheme="minorEastAsia" w:hAnsiTheme="minorEastAsia" w:eastAsiaTheme="minorEastAsia" w:cstheme="minorEastAsia"/>
          <w:b/>
          <w:sz w:val="32"/>
          <w:szCs w:val="32"/>
        </w:rPr>
        <w:t>概况</w:t>
      </w:r>
    </w:p>
    <w:p>
      <w:pPr>
        <w:ind w:firstLine="643" w:firstLineChars="200"/>
        <w:jc w:val="left"/>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b/>
          <w:bCs/>
          <w:sz w:val="32"/>
          <w:szCs w:val="32"/>
        </w:rPr>
        <w:t>一、部门主要职</w:t>
      </w:r>
      <w:r>
        <w:rPr>
          <w:rFonts w:hint="eastAsia" w:asciiTheme="minorEastAsia" w:hAnsiTheme="minorEastAsia" w:eastAsiaTheme="minorEastAsia" w:cstheme="minorEastAsia"/>
          <w:b/>
          <w:bCs/>
          <w:sz w:val="32"/>
          <w:szCs w:val="32"/>
          <w:lang w:eastAsia="zh-CN"/>
        </w:rPr>
        <w:t>责</w:t>
      </w:r>
    </w:p>
    <w:p>
      <w:pPr>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w:t>
      </w:r>
      <w:r>
        <w:rPr>
          <w:rFonts w:hint="eastAsia" w:asciiTheme="minorEastAsia" w:hAnsiTheme="minorEastAsia" w:eastAsiaTheme="minorEastAsia" w:cstheme="minorEastAsia"/>
          <w:sz w:val="32"/>
          <w:szCs w:val="32"/>
          <w:lang w:eastAsia="zh-CN"/>
        </w:rPr>
        <w:t>贯彻执行国家和省市有关卫生和计划生育、中医药事业发展的法律法规和方针政策，拟定全县卫生和计划生育、中医药事业发展的地方性规划，拟订政策规划，执行有关标准和技术规范。负责协调推进医药卫生体制改革和医疗保障，统筹规划卫生服务资源配置。</w:t>
      </w:r>
    </w:p>
    <w:p>
      <w:pPr>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w:t>
      </w:r>
      <w:r>
        <w:rPr>
          <w:rFonts w:hint="eastAsia" w:asciiTheme="minorEastAsia" w:hAnsiTheme="minorEastAsia" w:eastAsiaTheme="minorEastAsia" w:cstheme="minorEastAsia"/>
          <w:sz w:val="32"/>
          <w:szCs w:val="32"/>
          <w:lang w:eastAsia="zh-CN"/>
        </w:rPr>
        <w:t>贯彻执行国家疾病预防控制规划、国家免疫规划，制定严重危害人民健康的公共卫生问题的干预措施并组织落实，制定卫生应急和紧急医学救援预案、突发公共卫生事件监测和风险评估计划，组织和指导突发公共卫生事件预防控制和各类突发公共事件的医疗卫生救援，发布法定报告传染病疫情信息、突发公共卫生事件应急处置信息。</w:t>
      </w:r>
    </w:p>
    <w:p>
      <w:pPr>
        <w:ind w:firstLine="640" w:firstLineChars="200"/>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组织建立计划生育利益导向、计划生育特殊困难家庭扶助和促进计划生育家庭发展等机制。负责协调推进有关部门、群众团体履行计划生育工作相关政策职责，建立与经济社会发展政策的衔接机制，提出稳定低生育水平政策措施。</w:t>
      </w:r>
    </w:p>
    <w:p>
      <w:pPr>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4.承担县爱国卫生运动委员会、县人民政府深化医药卫生体制改革领导小组、县人民政府防治艾滋病工作委员会的日常工作。</w:t>
      </w:r>
    </w:p>
    <w:p>
      <w:pPr>
        <w:jc w:val="left"/>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二、部门</w:t>
      </w:r>
      <w:r>
        <w:rPr>
          <w:rFonts w:hint="eastAsia" w:asciiTheme="minorEastAsia" w:hAnsiTheme="minorEastAsia" w:eastAsiaTheme="minorEastAsia" w:cstheme="minorEastAsia"/>
          <w:b/>
          <w:bCs/>
          <w:sz w:val="32"/>
          <w:szCs w:val="32"/>
          <w:lang w:eastAsia="zh-CN"/>
        </w:rPr>
        <w:t>基本情况</w:t>
      </w:r>
    </w:p>
    <w:p>
      <w:pPr>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纳入本部门决算汇编范围的单位共 </w:t>
      </w:r>
      <w:r>
        <w:rPr>
          <w:rFonts w:hint="eastAsia" w:asciiTheme="minorEastAsia" w:hAnsiTheme="minorEastAsia" w:eastAsiaTheme="minorEastAsia" w:cstheme="minorEastAsia"/>
          <w:sz w:val="32"/>
          <w:szCs w:val="32"/>
          <w:lang w:val="en-US" w:eastAsia="zh-CN"/>
        </w:rPr>
        <w:t>23</w:t>
      </w:r>
      <w:r>
        <w:rPr>
          <w:rFonts w:hint="eastAsia" w:asciiTheme="minorEastAsia" w:hAnsiTheme="minorEastAsia" w:eastAsiaTheme="minorEastAsia" w:cstheme="minorEastAsia"/>
          <w:sz w:val="32"/>
          <w:szCs w:val="32"/>
        </w:rPr>
        <w:t>个，包括：</w:t>
      </w:r>
      <w:r>
        <w:rPr>
          <w:rFonts w:hint="eastAsia" w:asciiTheme="minorEastAsia" w:hAnsiTheme="minorEastAsia" w:eastAsiaTheme="minorEastAsia" w:cstheme="minorEastAsia"/>
          <w:sz w:val="32"/>
          <w:szCs w:val="32"/>
          <w:lang w:eastAsia="zh-CN"/>
        </w:rPr>
        <w:t>大余县卫生和计划生育委员会（本级）、大余县爱国卫生运动委员会办公室、大余县人民医院、大余县卫生计生综合监督法局、大余县疾病预防控制中心、大余县皮肤病防治所、大余县妇幼保健计划生育服务中心、内良乡卫生院、河洞乡卫生院、吉村镇中心卫生院、浮江乡卫生院、南安镇卫生院、黄龙镇卫生院、左拔镇卫生院、青龙镇中心卫生院、池江镇卫生院、樟斗镇卫生院、新城镇卫生院、吉村中心防保站、南安中心防保站、青龙中心防保站、池江中心防保站、新城中心防保站</w:t>
      </w:r>
      <w:r>
        <w:rPr>
          <w:rFonts w:hint="eastAsia" w:asciiTheme="minorEastAsia" w:hAnsiTheme="minorEastAsia" w:eastAsiaTheme="minorEastAsia" w:cstheme="minorEastAsia"/>
          <w:sz w:val="32"/>
          <w:szCs w:val="32"/>
        </w:rPr>
        <w:t>。</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本部门2017年年末编制人数 </w:t>
      </w:r>
      <w:r>
        <w:rPr>
          <w:rFonts w:hint="eastAsia" w:asciiTheme="minorEastAsia" w:hAnsiTheme="minorEastAsia" w:eastAsiaTheme="minorEastAsia" w:cstheme="minorEastAsia"/>
          <w:sz w:val="32"/>
          <w:szCs w:val="32"/>
          <w:lang w:val="en-US" w:eastAsia="zh-CN"/>
        </w:rPr>
        <w:t>582</w:t>
      </w:r>
      <w:r>
        <w:rPr>
          <w:rFonts w:hint="eastAsia" w:asciiTheme="minorEastAsia" w:hAnsiTheme="minorEastAsia" w:eastAsiaTheme="minorEastAsia" w:cstheme="minorEastAsia"/>
          <w:sz w:val="32"/>
          <w:szCs w:val="32"/>
        </w:rPr>
        <w:t xml:space="preserve">  人，其中行政编制 </w:t>
      </w:r>
      <w:r>
        <w:rPr>
          <w:rFonts w:hint="eastAsia" w:asciiTheme="minorEastAsia" w:hAnsiTheme="minorEastAsia" w:eastAsiaTheme="minorEastAsia" w:cstheme="minorEastAsia"/>
          <w:sz w:val="32"/>
          <w:szCs w:val="32"/>
          <w:lang w:val="en-US" w:eastAsia="zh-CN"/>
        </w:rPr>
        <w:t>19</w:t>
      </w:r>
      <w:r>
        <w:rPr>
          <w:rFonts w:hint="eastAsia" w:asciiTheme="minorEastAsia" w:hAnsiTheme="minorEastAsia" w:eastAsiaTheme="minorEastAsia" w:cstheme="minorEastAsia"/>
          <w:sz w:val="32"/>
          <w:szCs w:val="32"/>
        </w:rPr>
        <w:t xml:space="preserve"> 人，事业编制 </w:t>
      </w:r>
      <w:r>
        <w:rPr>
          <w:rFonts w:hint="eastAsia" w:asciiTheme="minorEastAsia" w:hAnsiTheme="minorEastAsia" w:eastAsiaTheme="minorEastAsia" w:cstheme="minorEastAsia"/>
          <w:sz w:val="32"/>
          <w:szCs w:val="32"/>
          <w:lang w:val="en-US" w:eastAsia="zh-CN"/>
        </w:rPr>
        <w:t>563</w:t>
      </w:r>
      <w:r>
        <w:rPr>
          <w:rFonts w:hint="eastAsia" w:asciiTheme="minorEastAsia" w:hAnsiTheme="minorEastAsia" w:eastAsiaTheme="minorEastAsia" w:cstheme="minorEastAsia"/>
          <w:sz w:val="32"/>
          <w:szCs w:val="32"/>
        </w:rPr>
        <w:t xml:space="preserve">  人；年末实有人数  </w:t>
      </w:r>
      <w:r>
        <w:rPr>
          <w:rFonts w:hint="eastAsia" w:asciiTheme="minorEastAsia" w:hAnsiTheme="minorEastAsia" w:eastAsiaTheme="minorEastAsia" w:cstheme="minorEastAsia"/>
          <w:sz w:val="32"/>
          <w:szCs w:val="32"/>
          <w:lang w:val="en-US" w:eastAsia="zh-CN"/>
        </w:rPr>
        <w:t>582</w:t>
      </w:r>
      <w:r>
        <w:rPr>
          <w:rFonts w:hint="eastAsia" w:asciiTheme="minorEastAsia" w:hAnsiTheme="minorEastAsia" w:eastAsiaTheme="minorEastAsia" w:cstheme="minorEastAsia"/>
          <w:sz w:val="32"/>
          <w:szCs w:val="32"/>
        </w:rPr>
        <w:t xml:space="preserve"> 人，其中在职人员</w:t>
      </w:r>
      <w:r>
        <w:rPr>
          <w:rFonts w:hint="eastAsia" w:asciiTheme="minorEastAsia" w:hAnsiTheme="minorEastAsia" w:eastAsiaTheme="minorEastAsia" w:cstheme="minorEastAsia"/>
          <w:sz w:val="32"/>
          <w:szCs w:val="32"/>
          <w:lang w:val="en-US" w:eastAsia="zh-CN"/>
        </w:rPr>
        <w:t>582</w:t>
      </w:r>
      <w:r>
        <w:rPr>
          <w:rFonts w:hint="eastAsia" w:asciiTheme="minorEastAsia" w:hAnsiTheme="minorEastAsia" w:eastAsiaTheme="minorEastAsia" w:cstheme="minorEastAsia"/>
          <w:sz w:val="32"/>
          <w:szCs w:val="32"/>
        </w:rPr>
        <w:t xml:space="preserve"> 人</w:t>
      </w:r>
      <w:r>
        <w:rPr>
          <w:rFonts w:hint="eastAsia" w:asciiTheme="minorEastAsia" w:hAnsiTheme="minorEastAsia" w:eastAsiaTheme="minorEastAsia" w:cstheme="minorEastAsia"/>
          <w:sz w:val="32"/>
          <w:szCs w:val="32"/>
          <w:lang w:val="en-US" w:eastAsia="zh-CN"/>
        </w:rPr>
        <w:t>。</w:t>
      </w:r>
    </w:p>
    <w:p>
      <w:pPr>
        <w:rPr>
          <w:rFonts w:hint="eastAsia" w:asciiTheme="minorEastAsia" w:hAnsiTheme="minorEastAsia" w:eastAsiaTheme="minorEastAsia" w:cstheme="minorEastAsia"/>
          <w:b/>
          <w:sz w:val="32"/>
          <w:szCs w:val="32"/>
        </w:rPr>
      </w:pPr>
    </w:p>
    <w:p>
      <w:pPr>
        <w:rPr>
          <w:rFonts w:hint="eastAsia" w:asciiTheme="minorEastAsia" w:hAnsiTheme="minorEastAsia" w:eastAsiaTheme="minorEastAsia" w:cstheme="minorEastAsia"/>
          <w:b/>
          <w:sz w:val="32"/>
          <w:szCs w:val="32"/>
        </w:rPr>
      </w:pPr>
    </w:p>
    <w:p>
      <w:pPr>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第二部分 201</w:t>
      </w:r>
      <w:r>
        <w:rPr>
          <w:rFonts w:hint="eastAsia" w:asciiTheme="minorEastAsia" w:hAnsiTheme="minorEastAsia" w:eastAsiaTheme="minorEastAsia" w:cstheme="minorEastAsia"/>
          <w:b/>
          <w:sz w:val="32"/>
          <w:szCs w:val="32"/>
          <w:lang w:val="en-US" w:eastAsia="zh-CN"/>
        </w:rPr>
        <w:t>7</w:t>
      </w:r>
      <w:r>
        <w:rPr>
          <w:rFonts w:hint="eastAsia" w:asciiTheme="minorEastAsia" w:hAnsiTheme="minorEastAsia" w:eastAsiaTheme="minorEastAsia" w:cstheme="minorEastAsia"/>
          <w:b/>
          <w:sz w:val="32"/>
          <w:szCs w:val="32"/>
        </w:rPr>
        <w:t>年</w:t>
      </w:r>
      <w:r>
        <w:rPr>
          <w:rFonts w:hint="eastAsia" w:asciiTheme="minorEastAsia" w:hAnsiTheme="minorEastAsia" w:eastAsiaTheme="minorEastAsia" w:cstheme="minorEastAsia"/>
          <w:b/>
          <w:sz w:val="32"/>
          <w:szCs w:val="32"/>
          <w:lang w:eastAsia="zh-CN"/>
        </w:rPr>
        <w:t>度</w:t>
      </w:r>
      <w:r>
        <w:rPr>
          <w:rFonts w:hint="eastAsia" w:asciiTheme="minorEastAsia" w:hAnsiTheme="minorEastAsia" w:eastAsiaTheme="minorEastAsia" w:cstheme="minorEastAsia"/>
          <w:b/>
          <w:sz w:val="32"/>
          <w:szCs w:val="32"/>
        </w:rPr>
        <w:t>部门决算</w:t>
      </w:r>
      <w:r>
        <w:rPr>
          <w:rFonts w:hint="eastAsia" w:asciiTheme="minorEastAsia" w:hAnsiTheme="minorEastAsia" w:eastAsiaTheme="minorEastAsia" w:cstheme="minorEastAsia"/>
          <w:b/>
          <w:sz w:val="32"/>
          <w:szCs w:val="32"/>
          <w:lang w:eastAsia="zh-CN"/>
        </w:rPr>
        <w:t>表</w:t>
      </w:r>
    </w:p>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tbl>
      <w:tblPr>
        <w:tblStyle w:val="6"/>
        <w:tblW w:w="843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13"/>
        <w:gridCol w:w="248"/>
        <w:gridCol w:w="1650"/>
        <w:gridCol w:w="1529"/>
        <w:gridCol w:w="267"/>
        <w:gridCol w:w="1567"/>
        <w:gridCol w:w="15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6874" w:type="dxa"/>
            <w:gridSpan w:val="6"/>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收入支出决算总表</w:t>
            </w:r>
          </w:p>
        </w:tc>
        <w:tc>
          <w:tcPr>
            <w:tcW w:w="1558"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44"/>
                <w:szCs w:val="4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613" w:type="dxa"/>
            <w:shd w:val="clear" w:color="auto" w:fill="auto"/>
            <w:vAlign w:val="bottom"/>
          </w:tcPr>
          <w:p>
            <w:pPr>
              <w:rPr>
                <w:rFonts w:hint="eastAsia" w:ascii="Arial" w:hAnsi="Arial" w:cs="Arial"/>
                <w:i w:val="0"/>
                <w:color w:val="000000"/>
                <w:sz w:val="20"/>
                <w:szCs w:val="20"/>
                <w:u w:val="none"/>
              </w:rPr>
            </w:pPr>
          </w:p>
        </w:tc>
        <w:tc>
          <w:tcPr>
            <w:tcW w:w="248" w:type="dxa"/>
            <w:shd w:val="clear" w:color="auto" w:fill="auto"/>
            <w:vAlign w:val="bottom"/>
          </w:tcPr>
          <w:p>
            <w:pPr>
              <w:rPr>
                <w:rFonts w:hint="default" w:ascii="Arial" w:hAnsi="Arial" w:cs="Arial"/>
                <w:i w:val="0"/>
                <w:color w:val="000000"/>
                <w:sz w:val="20"/>
                <w:szCs w:val="20"/>
                <w:u w:val="none"/>
              </w:rPr>
            </w:pPr>
          </w:p>
        </w:tc>
        <w:tc>
          <w:tcPr>
            <w:tcW w:w="1650" w:type="dxa"/>
            <w:shd w:val="clear" w:color="auto" w:fill="auto"/>
            <w:vAlign w:val="bottom"/>
          </w:tcPr>
          <w:p>
            <w:pPr>
              <w:rPr>
                <w:rFonts w:hint="default" w:ascii="Arial" w:hAnsi="Arial" w:cs="Arial"/>
                <w:i w:val="0"/>
                <w:color w:val="000000"/>
                <w:sz w:val="20"/>
                <w:szCs w:val="20"/>
                <w:u w:val="none"/>
              </w:rPr>
            </w:pPr>
          </w:p>
        </w:tc>
        <w:tc>
          <w:tcPr>
            <w:tcW w:w="1529" w:type="dxa"/>
            <w:shd w:val="clear" w:color="auto" w:fill="auto"/>
            <w:vAlign w:val="bottom"/>
          </w:tcPr>
          <w:p>
            <w:pPr>
              <w:rPr>
                <w:rFonts w:hint="default" w:ascii="Arial" w:hAnsi="Arial" w:cs="Arial"/>
                <w:i w:val="0"/>
                <w:color w:val="000000"/>
                <w:sz w:val="20"/>
                <w:szCs w:val="20"/>
                <w:u w:val="none"/>
              </w:rPr>
            </w:pPr>
          </w:p>
        </w:tc>
        <w:tc>
          <w:tcPr>
            <w:tcW w:w="267" w:type="dxa"/>
            <w:shd w:val="clear" w:color="auto" w:fill="auto"/>
            <w:vAlign w:val="bottom"/>
          </w:tcPr>
          <w:p>
            <w:pPr>
              <w:rPr>
                <w:rFonts w:hint="default" w:ascii="Arial" w:hAnsi="Arial" w:cs="Arial"/>
                <w:i w:val="0"/>
                <w:color w:val="000000"/>
                <w:sz w:val="20"/>
                <w:szCs w:val="20"/>
                <w:u w:val="none"/>
              </w:rPr>
            </w:pPr>
          </w:p>
        </w:tc>
        <w:tc>
          <w:tcPr>
            <w:tcW w:w="1567"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c>
          <w:tcPr>
            <w:tcW w:w="155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613"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编制单位：大余县卫生系统</w:t>
            </w:r>
          </w:p>
        </w:tc>
        <w:tc>
          <w:tcPr>
            <w:tcW w:w="248" w:type="dxa"/>
            <w:shd w:val="clear" w:color="auto" w:fill="auto"/>
            <w:vAlign w:val="bottom"/>
          </w:tcPr>
          <w:p>
            <w:pPr>
              <w:rPr>
                <w:rFonts w:hint="default" w:ascii="Arial" w:hAnsi="Arial" w:cs="Arial"/>
                <w:i w:val="0"/>
                <w:color w:val="000000"/>
                <w:sz w:val="20"/>
                <w:szCs w:val="20"/>
                <w:u w:val="none"/>
              </w:rPr>
            </w:pPr>
          </w:p>
        </w:tc>
        <w:tc>
          <w:tcPr>
            <w:tcW w:w="1650"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2017年度</w:t>
            </w:r>
          </w:p>
        </w:tc>
        <w:tc>
          <w:tcPr>
            <w:tcW w:w="1529" w:type="dxa"/>
            <w:shd w:val="clear" w:color="auto" w:fill="auto"/>
            <w:vAlign w:val="bottom"/>
          </w:tcPr>
          <w:p>
            <w:pPr>
              <w:rPr>
                <w:rFonts w:hint="default" w:ascii="Arial" w:hAnsi="Arial" w:cs="Arial"/>
                <w:i w:val="0"/>
                <w:color w:val="000000"/>
                <w:sz w:val="20"/>
                <w:szCs w:val="20"/>
                <w:u w:val="none"/>
              </w:rPr>
            </w:pPr>
          </w:p>
        </w:tc>
        <w:tc>
          <w:tcPr>
            <w:tcW w:w="267" w:type="dxa"/>
            <w:shd w:val="clear" w:color="auto" w:fill="auto"/>
            <w:vAlign w:val="bottom"/>
          </w:tcPr>
          <w:p>
            <w:pPr>
              <w:rPr>
                <w:rFonts w:hint="default" w:ascii="Arial" w:hAnsi="Arial" w:cs="Arial"/>
                <w:i w:val="0"/>
                <w:color w:val="000000"/>
                <w:sz w:val="20"/>
                <w:szCs w:val="20"/>
                <w:u w:val="none"/>
              </w:rPr>
            </w:pPr>
          </w:p>
        </w:tc>
        <w:tc>
          <w:tcPr>
            <w:tcW w:w="1567"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c>
          <w:tcPr>
            <w:tcW w:w="155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511"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     入</w:t>
            </w:r>
          </w:p>
        </w:tc>
        <w:tc>
          <w:tcPr>
            <w:tcW w:w="3363" w:type="dxa"/>
            <w:gridSpan w:val="3"/>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     出</w:t>
            </w:r>
          </w:p>
        </w:tc>
        <w:tc>
          <w:tcPr>
            <w:tcW w:w="155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65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项目（按功能分类）</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5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155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248"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65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267"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5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55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一、财政拨款收入</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7,956.06</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其中：政府性基金预算财政拨款</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509.94</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二、上级补助收入</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三、事业收入</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16,502.14</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四、经营收入</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五、附属单位上缴收入</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六、其他收入</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七、文化体育与传媒支出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617.36</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九、医疗卫生与计划生育支出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24,249.51</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377.48</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2"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十四、资源勘探信息等支出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十八、国土海洋气象等支出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二十一、其他支出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二十二、债务还本支出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650"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二十三、债务付息支出</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6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24,458.20</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25,548.96</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用事业基金弥补收支差额</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396.73</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6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5,841.61</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4,354.12</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13"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6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30,299.81</w:t>
            </w:r>
          </w:p>
        </w:tc>
        <w:tc>
          <w:tcPr>
            <w:tcW w:w="152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6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56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30,299.81</w:t>
            </w:r>
          </w:p>
        </w:tc>
        <w:tc>
          <w:tcPr>
            <w:tcW w:w="155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bl>
    <w:p>
      <w:pPr>
        <w:autoSpaceDE w:val="0"/>
        <w:autoSpaceDN w:val="0"/>
        <w:adjustRightInd w:val="0"/>
        <w:spacing w:line="240" w:lineRule="auto"/>
        <w:jc w:val="left"/>
        <w:rPr>
          <w:rFonts w:hint="eastAsia" w:asciiTheme="minorEastAsia" w:hAnsiTheme="minorEastAsia" w:eastAsiaTheme="minorEastAsia" w:cstheme="minorEastAsia"/>
          <w:b/>
          <w:sz w:val="32"/>
          <w:szCs w:val="32"/>
        </w:rPr>
      </w:pPr>
    </w:p>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tbl>
      <w:tblPr>
        <w:tblStyle w:val="6"/>
        <w:tblW w:w="84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63"/>
        <w:gridCol w:w="316"/>
        <w:gridCol w:w="264"/>
        <w:gridCol w:w="2"/>
        <w:gridCol w:w="2596"/>
        <w:gridCol w:w="579"/>
        <w:gridCol w:w="2"/>
        <w:gridCol w:w="546"/>
        <w:gridCol w:w="2"/>
        <w:gridCol w:w="544"/>
        <w:gridCol w:w="3"/>
        <w:gridCol w:w="583"/>
        <w:gridCol w:w="3"/>
        <w:gridCol w:w="543"/>
        <w:gridCol w:w="2"/>
        <w:gridCol w:w="1013"/>
        <w:gridCol w:w="11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2" w:hRule="atLeast"/>
        </w:trPr>
        <w:tc>
          <w:tcPr>
            <w:tcW w:w="8411" w:type="dxa"/>
            <w:gridSpan w:val="17"/>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2" w:hRule="atLeast"/>
        </w:trPr>
        <w:tc>
          <w:tcPr>
            <w:tcW w:w="263" w:type="dxa"/>
            <w:shd w:val="clear" w:color="auto" w:fill="auto"/>
            <w:vAlign w:val="bottom"/>
          </w:tcPr>
          <w:p>
            <w:pPr>
              <w:rPr>
                <w:rFonts w:hint="eastAsia" w:ascii="Arial" w:hAnsi="Arial" w:cs="Arial"/>
                <w:i w:val="0"/>
                <w:color w:val="000000"/>
                <w:sz w:val="20"/>
                <w:szCs w:val="20"/>
                <w:u w:val="none"/>
              </w:rPr>
            </w:pPr>
          </w:p>
        </w:tc>
        <w:tc>
          <w:tcPr>
            <w:tcW w:w="316" w:type="dxa"/>
            <w:shd w:val="clear" w:color="auto" w:fill="auto"/>
            <w:vAlign w:val="bottom"/>
          </w:tcPr>
          <w:p>
            <w:pPr>
              <w:rPr>
                <w:rFonts w:hint="default" w:ascii="Arial" w:hAnsi="Arial" w:cs="Arial"/>
                <w:i w:val="0"/>
                <w:color w:val="000000"/>
                <w:sz w:val="20"/>
                <w:szCs w:val="20"/>
                <w:u w:val="none"/>
              </w:rPr>
            </w:pPr>
          </w:p>
        </w:tc>
        <w:tc>
          <w:tcPr>
            <w:tcW w:w="264" w:type="dxa"/>
            <w:shd w:val="clear" w:color="auto" w:fill="auto"/>
            <w:vAlign w:val="bottom"/>
          </w:tcPr>
          <w:p>
            <w:pPr>
              <w:rPr>
                <w:rFonts w:hint="default" w:ascii="Arial" w:hAnsi="Arial" w:cs="Arial"/>
                <w:i w:val="0"/>
                <w:color w:val="000000"/>
                <w:sz w:val="20"/>
                <w:szCs w:val="20"/>
                <w:u w:val="none"/>
              </w:rPr>
            </w:pPr>
          </w:p>
        </w:tc>
        <w:tc>
          <w:tcPr>
            <w:tcW w:w="2598" w:type="dxa"/>
            <w:gridSpan w:val="2"/>
            <w:shd w:val="clear" w:color="auto" w:fill="auto"/>
            <w:vAlign w:val="bottom"/>
          </w:tcPr>
          <w:p>
            <w:pPr>
              <w:rPr>
                <w:rFonts w:hint="default" w:ascii="Arial" w:hAnsi="Arial" w:cs="Arial"/>
                <w:i w:val="0"/>
                <w:color w:val="000000"/>
                <w:sz w:val="20"/>
                <w:szCs w:val="20"/>
                <w:u w:val="none"/>
              </w:rPr>
            </w:pPr>
          </w:p>
        </w:tc>
        <w:tc>
          <w:tcPr>
            <w:tcW w:w="579" w:type="dxa"/>
            <w:shd w:val="clear" w:color="auto" w:fill="auto"/>
            <w:vAlign w:val="bottom"/>
          </w:tcPr>
          <w:p>
            <w:pPr>
              <w:rPr>
                <w:rFonts w:hint="default" w:ascii="Arial" w:hAnsi="Arial" w:cs="Arial"/>
                <w:i w:val="0"/>
                <w:color w:val="000000"/>
                <w:sz w:val="20"/>
                <w:szCs w:val="20"/>
                <w:u w:val="none"/>
              </w:rPr>
            </w:pPr>
          </w:p>
        </w:tc>
        <w:tc>
          <w:tcPr>
            <w:tcW w:w="548" w:type="dxa"/>
            <w:gridSpan w:val="2"/>
            <w:shd w:val="clear" w:color="auto" w:fill="auto"/>
            <w:vAlign w:val="bottom"/>
          </w:tcPr>
          <w:p>
            <w:pPr>
              <w:rPr>
                <w:rFonts w:hint="default" w:ascii="Arial" w:hAnsi="Arial" w:cs="Arial"/>
                <w:i w:val="0"/>
                <w:color w:val="000000"/>
                <w:sz w:val="20"/>
                <w:szCs w:val="20"/>
                <w:u w:val="none"/>
              </w:rPr>
            </w:pPr>
          </w:p>
        </w:tc>
        <w:tc>
          <w:tcPr>
            <w:tcW w:w="546" w:type="dxa"/>
            <w:gridSpan w:val="2"/>
            <w:shd w:val="clear" w:color="auto" w:fill="auto"/>
            <w:vAlign w:val="bottom"/>
          </w:tcPr>
          <w:p>
            <w:pPr>
              <w:rPr>
                <w:rFonts w:hint="default" w:ascii="Arial" w:hAnsi="Arial" w:cs="Arial"/>
                <w:i w:val="0"/>
                <w:color w:val="000000"/>
                <w:sz w:val="20"/>
                <w:szCs w:val="20"/>
                <w:u w:val="none"/>
              </w:rPr>
            </w:pPr>
          </w:p>
        </w:tc>
        <w:tc>
          <w:tcPr>
            <w:tcW w:w="586" w:type="dxa"/>
            <w:gridSpan w:val="2"/>
            <w:shd w:val="clear" w:color="auto" w:fill="auto"/>
            <w:vAlign w:val="bottom"/>
          </w:tcPr>
          <w:p>
            <w:pPr>
              <w:rPr>
                <w:rFonts w:hint="default" w:ascii="Arial" w:hAnsi="Arial" w:cs="Arial"/>
                <w:i w:val="0"/>
                <w:color w:val="000000"/>
                <w:sz w:val="20"/>
                <w:szCs w:val="20"/>
                <w:u w:val="none"/>
              </w:rPr>
            </w:pPr>
          </w:p>
        </w:tc>
        <w:tc>
          <w:tcPr>
            <w:tcW w:w="546" w:type="dxa"/>
            <w:gridSpan w:val="2"/>
            <w:shd w:val="clear" w:color="auto" w:fill="auto"/>
            <w:vAlign w:val="bottom"/>
          </w:tcPr>
          <w:p>
            <w:pPr>
              <w:rPr>
                <w:rFonts w:hint="default" w:ascii="Arial" w:hAnsi="Arial" w:cs="Arial"/>
                <w:i w:val="0"/>
                <w:color w:val="000000"/>
                <w:sz w:val="20"/>
                <w:szCs w:val="20"/>
                <w:u w:val="none"/>
              </w:rPr>
            </w:pPr>
          </w:p>
        </w:tc>
        <w:tc>
          <w:tcPr>
            <w:tcW w:w="1015" w:type="dxa"/>
            <w:gridSpan w:val="2"/>
            <w:shd w:val="clear" w:color="auto" w:fill="auto"/>
            <w:vAlign w:val="bottom"/>
          </w:tcPr>
          <w:p>
            <w:pPr>
              <w:rPr>
                <w:rFonts w:hint="default" w:ascii="Arial" w:hAnsi="Arial" w:cs="Arial"/>
                <w:i w:val="0"/>
                <w:color w:val="000000"/>
                <w:sz w:val="20"/>
                <w:szCs w:val="20"/>
                <w:u w:val="none"/>
              </w:rPr>
            </w:pPr>
          </w:p>
        </w:tc>
        <w:tc>
          <w:tcPr>
            <w:tcW w:w="1150"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294" w:hRule="atLeast"/>
        </w:trPr>
        <w:tc>
          <w:tcPr>
            <w:tcW w:w="3441" w:type="dxa"/>
            <w:gridSpan w:val="5"/>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编制单位：大余县卫生系统</w:t>
            </w:r>
          </w:p>
        </w:tc>
        <w:tc>
          <w:tcPr>
            <w:tcW w:w="581" w:type="dxa"/>
            <w:gridSpan w:val="2"/>
            <w:shd w:val="clear" w:color="auto" w:fill="auto"/>
            <w:vAlign w:val="bottom"/>
          </w:tcPr>
          <w:p>
            <w:pPr>
              <w:rPr>
                <w:rFonts w:hint="default" w:ascii="Arial" w:hAnsi="Arial" w:cs="Arial"/>
                <w:i w:val="0"/>
                <w:color w:val="000000"/>
                <w:sz w:val="20"/>
                <w:szCs w:val="20"/>
                <w:u w:val="none"/>
              </w:rPr>
            </w:pPr>
          </w:p>
        </w:tc>
        <w:tc>
          <w:tcPr>
            <w:tcW w:w="548" w:type="dxa"/>
            <w:gridSpan w:val="2"/>
            <w:shd w:val="clear" w:color="auto" w:fill="auto"/>
            <w:vAlign w:val="bottom"/>
          </w:tcPr>
          <w:p>
            <w:pPr>
              <w:rPr>
                <w:rFonts w:hint="default" w:ascii="Arial" w:hAnsi="Arial" w:cs="Arial"/>
                <w:i w:val="0"/>
                <w:color w:val="000000"/>
                <w:sz w:val="20"/>
                <w:szCs w:val="20"/>
                <w:u w:val="none"/>
              </w:rPr>
            </w:pPr>
          </w:p>
        </w:tc>
        <w:tc>
          <w:tcPr>
            <w:tcW w:w="547" w:type="dxa"/>
            <w:gridSpan w:val="2"/>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2017年度</w:t>
            </w:r>
          </w:p>
        </w:tc>
        <w:tc>
          <w:tcPr>
            <w:tcW w:w="586" w:type="dxa"/>
            <w:gridSpan w:val="2"/>
            <w:shd w:val="clear" w:color="auto" w:fill="auto"/>
            <w:vAlign w:val="bottom"/>
          </w:tcPr>
          <w:p>
            <w:pPr>
              <w:rPr>
                <w:rFonts w:hint="default" w:ascii="Arial" w:hAnsi="Arial" w:cs="Arial"/>
                <w:i w:val="0"/>
                <w:color w:val="000000"/>
                <w:sz w:val="20"/>
                <w:szCs w:val="20"/>
                <w:u w:val="none"/>
              </w:rPr>
            </w:pPr>
          </w:p>
        </w:tc>
        <w:tc>
          <w:tcPr>
            <w:tcW w:w="545" w:type="dxa"/>
            <w:gridSpan w:val="2"/>
            <w:shd w:val="clear" w:color="auto" w:fill="auto"/>
            <w:vAlign w:val="bottom"/>
          </w:tcPr>
          <w:p>
            <w:pPr>
              <w:rPr>
                <w:rFonts w:hint="default" w:ascii="Arial" w:hAnsi="Arial" w:cs="Arial"/>
                <w:i w:val="0"/>
                <w:color w:val="000000"/>
                <w:sz w:val="20"/>
                <w:szCs w:val="20"/>
                <w:u w:val="none"/>
              </w:rPr>
            </w:pPr>
          </w:p>
        </w:tc>
        <w:tc>
          <w:tcPr>
            <w:tcW w:w="1013" w:type="dxa"/>
            <w:shd w:val="clear" w:color="auto" w:fill="auto"/>
            <w:vAlign w:val="bottom"/>
          </w:tcPr>
          <w:p>
            <w:pPr>
              <w:rPr>
                <w:rFonts w:hint="default" w:ascii="Arial" w:hAnsi="Arial" w:cs="Arial"/>
                <w:i w:val="0"/>
                <w:color w:val="000000"/>
                <w:sz w:val="20"/>
                <w:szCs w:val="20"/>
                <w:u w:val="none"/>
              </w:rPr>
            </w:pPr>
          </w:p>
        </w:tc>
        <w:tc>
          <w:tcPr>
            <w:tcW w:w="1150"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2" w:hRule="atLeast"/>
        </w:trPr>
        <w:tc>
          <w:tcPr>
            <w:tcW w:w="3441" w:type="dxa"/>
            <w:gridSpan w:val="5"/>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581"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本年收入合计</w:t>
            </w:r>
          </w:p>
        </w:tc>
        <w:tc>
          <w:tcPr>
            <w:tcW w:w="548"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财政拨款收入</w:t>
            </w:r>
          </w:p>
        </w:tc>
        <w:tc>
          <w:tcPr>
            <w:tcW w:w="547"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上级补助收入</w:t>
            </w:r>
          </w:p>
        </w:tc>
        <w:tc>
          <w:tcPr>
            <w:tcW w:w="586"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事业收入</w:t>
            </w:r>
          </w:p>
        </w:tc>
        <w:tc>
          <w:tcPr>
            <w:tcW w:w="545"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经营收入</w:t>
            </w:r>
          </w:p>
        </w:tc>
        <w:tc>
          <w:tcPr>
            <w:tcW w:w="1013"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附属单位上缴收入</w:t>
            </w:r>
          </w:p>
        </w:tc>
        <w:tc>
          <w:tcPr>
            <w:tcW w:w="115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1" w:hRule="atLeast"/>
        </w:trPr>
        <w:tc>
          <w:tcPr>
            <w:tcW w:w="845" w:type="dxa"/>
            <w:gridSpan w:val="4"/>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  科目编码</w:t>
            </w:r>
          </w:p>
        </w:tc>
        <w:tc>
          <w:tcPr>
            <w:tcW w:w="2596"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581"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48"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47"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86"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45"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1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17" w:hRule="atLeast"/>
        </w:trPr>
        <w:tc>
          <w:tcPr>
            <w:tcW w:w="845" w:type="dxa"/>
            <w:gridSpan w:val="4"/>
            <w:vMerge w:val="continue"/>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596"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81"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48"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47"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86"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45"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1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6" w:hRule="atLeast"/>
        </w:trPr>
        <w:tc>
          <w:tcPr>
            <w:tcW w:w="845" w:type="dxa"/>
            <w:gridSpan w:val="4"/>
            <w:vMerge w:val="continue"/>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596"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81"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48"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47"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86"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45"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1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0" w:hRule="atLeast"/>
        </w:trPr>
        <w:tc>
          <w:tcPr>
            <w:tcW w:w="263"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316"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264"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2598"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57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8"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546"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586"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546"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015"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15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88" w:hRule="atLeast"/>
        </w:trPr>
        <w:tc>
          <w:tcPr>
            <w:tcW w:w="263" w:type="dxa"/>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16"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64"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598"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5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24,458.20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7,956.06</w:t>
            </w:r>
          </w:p>
        </w:tc>
        <w:tc>
          <w:tcPr>
            <w:tcW w:w="54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16,502.14</w:t>
            </w:r>
          </w:p>
        </w:tc>
        <w:tc>
          <w:tcPr>
            <w:tcW w:w="54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一般公共服务支出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2010302</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630.31</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630.31</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409.43</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409.43</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2080501</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归口管理的行政单位离退休</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31.58</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31.58</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377.86</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377.86</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抚恤</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144.42</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144.42</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2080801</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死亡抚恤</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144.42</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144.42</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20825</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其他生活救助</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76.46</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76.46</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2082502</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其他农村生活救助</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76.46</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76.46</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88"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医疗卫生与计划生育支出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23,051.52</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6,549.38</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16,502.14</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医疗卫生与计划生育管理事务</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470.16</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470.16</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2100101</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351.10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351.10</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2100102</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83.42</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83.42</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2100199</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其他医疗卫生与计划生育管理事务支出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35.64</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35.64</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88"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21002</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公立医院</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15,444.35</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495.92</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14,948.43</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88"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2100201</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综合医院</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15,156.35</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207.92</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14,948.43</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2100299</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其他公立医院支出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288.00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288.00</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21003</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基层医疗卫生机构</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2,476.50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1,600.50</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876.00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2100302</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乡镇卫生院</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2,471.76</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1,595.76</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876.00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2100399</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其他基层医疗卫生机构支出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4.74</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4.74</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4,096.22</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3,418.50</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677.72</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2100401</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疾病预防控制机构</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1,568.30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904.81</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663.49</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2100402</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卫生监督机构</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134.31</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134.31</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2100403</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妇幼保健机构</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643.95</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643.95</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2100407</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其他专业公共卫生机构</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101.18</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86.95</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14.23</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2100408</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基本公共卫生服务</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1,409.55</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1,409.55</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2100409</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重大公共卫生专项</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2.93</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2.93</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2100410</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突发公共卫生事件应急处理</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2100499</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其他公共卫生支出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216.00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216.00</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计划生育事务</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469.88</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469.88</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2100716</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计划生育机构</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171.98</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171.98</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2100717</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计划生育服务</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269.20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269.20</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2100799</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其他计划生育事务支出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28.70</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28.70</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行政事业单位医疗★</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2101199</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其他行政事业单位医疗支出★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21014</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优抚对象医疗★</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54.68</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54.68</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2101401</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优抚对象医疗补助★</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54.68</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54.68</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509.94</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509.94</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88"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国有土地使用权出让收入及对应专项债务收入安排的支出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509.94</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509.94</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2120802</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土地开发支出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149.96</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149.96</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88"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2120899</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其他国有土地使用权出让收入安排的支出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359.98</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359.98</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住房保障支出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266.23</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266.23</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住房改革支出</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266.23</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266.23</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85" w:hRule="atLeast"/>
        </w:trPr>
        <w:tc>
          <w:tcPr>
            <w:tcW w:w="845" w:type="dxa"/>
            <w:gridSpan w:val="4"/>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2596"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581"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266.23</w:t>
            </w:r>
          </w:p>
        </w:tc>
        <w:tc>
          <w:tcPr>
            <w:tcW w:w="548"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266.23</w:t>
            </w:r>
          </w:p>
        </w:tc>
        <w:tc>
          <w:tcPr>
            <w:tcW w:w="547"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86"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45"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1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bl>
    <w:tbl>
      <w:tblPr>
        <w:tblStyle w:val="6"/>
        <w:tblpPr w:leftFromText="180" w:rightFromText="180" w:vertAnchor="text" w:horzAnchor="page" w:tblpXSpec="center" w:tblpY="609"/>
        <w:tblOverlap w:val="never"/>
        <w:tblW w:w="8330" w:type="dxa"/>
        <w:jc w:val="center"/>
        <w:tblInd w:w="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91"/>
        <w:gridCol w:w="391"/>
        <w:gridCol w:w="391"/>
        <w:gridCol w:w="2068"/>
        <w:gridCol w:w="1115"/>
        <w:gridCol w:w="1022"/>
        <w:gridCol w:w="754"/>
        <w:gridCol w:w="722"/>
        <w:gridCol w:w="597"/>
        <w:gridCol w:w="874"/>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5" w:type="dxa"/>
          <w:trHeight w:val="540" w:hRule="atLeast"/>
          <w:jc w:val="center"/>
        </w:trPr>
        <w:tc>
          <w:tcPr>
            <w:tcW w:w="8325" w:type="dxa"/>
            <w:gridSpan w:val="10"/>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5" w:type="dxa"/>
          <w:trHeight w:val="286" w:hRule="atLeast"/>
          <w:jc w:val="center"/>
        </w:trPr>
        <w:tc>
          <w:tcPr>
            <w:tcW w:w="391" w:type="dxa"/>
            <w:shd w:val="clear" w:color="auto" w:fill="auto"/>
            <w:vAlign w:val="bottom"/>
          </w:tcPr>
          <w:p>
            <w:pPr>
              <w:rPr>
                <w:rFonts w:hint="eastAsia" w:ascii="Arial" w:hAnsi="Arial" w:cs="Arial"/>
                <w:i w:val="0"/>
                <w:color w:val="000000"/>
                <w:sz w:val="20"/>
                <w:szCs w:val="20"/>
                <w:u w:val="none"/>
              </w:rPr>
            </w:pPr>
          </w:p>
        </w:tc>
        <w:tc>
          <w:tcPr>
            <w:tcW w:w="391" w:type="dxa"/>
            <w:shd w:val="clear" w:color="auto" w:fill="auto"/>
            <w:vAlign w:val="bottom"/>
          </w:tcPr>
          <w:p>
            <w:pPr>
              <w:rPr>
                <w:rFonts w:hint="default" w:ascii="Arial" w:hAnsi="Arial" w:cs="Arial"/>
                <w:i w:val="0"/>
                <w:color w:val="000000"/>
                <w:sz w:val="20"/>
                <w:szCs w:val="20"/>
                <w:u w:val="none"/>
              </w:rPr>
            </w:pPr>
          </w:p>
        </w:tc>
        <w:tc>
          <w:tcPr>
            <w:tcW w:w="391" w:type="dxa"/>
            <w:shd w:val="clear" w:color="auto" w:fill="auto"/>
            <w:vAlign w:val="bottom"/>
          </w:tcPr>
          <w:p>
            <w:pPr>
              <w:rPr>
                <w:rFonts w:hint="default" w:ascii="Arial" w:hAnsi="Arial" w:cs="Arial"/>
                <w:i w:val="0"/>
                <w:color w:val="000000"/>
                <w:sz w:val="20"/>
                <w:szCs w:val="20"/>
                <w:u w:val="none"/>
              </w:rPr>
            </w:pPr>
          </w:p>
        </w:tc>
        <w:tc>
          <w:tcPr>
            <w:tcW w:w="2068" w:type="dxa"/>
            <w:shd w:val="clear" w:color="auto" w:fill="auto"/>
            <w:vAlign w:val="bottom"/>
          </w:tcPr>
          <w:p>
            <w:pPr>
              <w:rPr>
                <w:rFonts w:hint="default" w:ascii="Arial" w:hAnsi="Arial" w:cs="Arial"/>
                <w:i w:val="0"/>
                <w:color w:val="000000"/>
                <w:sz w:val="20"/>
                <w:szCs w:val="20"/>
                <w:u w:val="none"/>
              </w:rPr>
            </w:pPr>
          </w:p>
        </w:tc>
        <w:tc>
          <w:tcPr>
            <w:tcW w:w="1115" w:type="dxa"/>
            <w:shd w:val="clear" w:color="auto" w:fill="auto"/>
            <w:vAlign w:val="bottom"/>
          </w:tcPr>
          <w:p>
            <w:pPr>
              <w:rPr>
                <w:rFonts w:hint="default" w:ascii="Arial" w:hAnsi="Arial" w:cs="Arial"/>
                <w:i w:val="0"/>
                <w:color w:val="000000"/>
                <w:sz w:val="20"/>
                <w:szCs w:val="20"/>
                <w:u w:val="none"/>
              </w:rPr>
            </w:pPr>
          </w:p>
        </w:tc>
        <w:tc>
          <w:tcPr>
            <w:tcW w:w="1022" w:type="dxa"/>
            <w:shd w:val="clear" w:color="auto" w:fill="auto"/>
            <w:vAlign w:val="bottom"/>
          </w:tcPr>
          <w:p>
            <w:pPr>
              <w:rPr>
                <w:rFonts w:hint="default" w:ascii="Arial" w:hAnsi="Arial" w:cs="Arial"/>
                <w:i w:val="0"/>
                <w:color w:val="000000"/>
                <w:sz w:val="20"/>
                <w:szCs w:val="20"/>
                <w:u w:val="none"/>
              </w:rPr>
            </w:pPr>
          </w:p>
        </w:tc>
        <w:tc>
          <w:tcPr>
            <w:tcW w:w="754" w:type="dxa"/>
            <w:shd w:val="clear" w:color="auto" w:fill="auto"/>
            <w:vAlign w:val="bottom"/>
          </w:tcPr>
          <w:p>
            <w:pPr>
              <w:rPr>
                <w:rFonts w:hint="default" w:ascii="Arial" w:hAnsi="Arial" w:cs="Arial"/>
                <w:i w:val="0"/>
                <w:color w:val="000000"/>
                <w:sz w:val="20"/>
                <w:szCs w:val="20"/>
                <w:u w:val="none"/>
              </w:rPr>
            </w:pPr>
          </w:p>
        </w:tc>
        <w:tc>
          <w:tcPr>
            <w:tcW w:w="722" w:type="dxa"/>
            <w:shd w:val="clear" w:color="auto" w:fill="auto"/>
            <w:vAlign w:val="bottom"/>
          </w:tcPr>
          <w:p>
            <w:pPr>
              <w:rPr>
                <w:rFonts w:hint="default" w:ascii="Arial" w:hAnsi="Arial" w:cs="Arial"/>
                <w:i w:val="0"/>
                <w:color w:val="000000"/>
                <w:sz w:val="20"/>
                <w:szCs w:val="20"/>
                <w:u w:val="none"/>
              </w:rPr>
            </w:pPr>
          </w:p>
        </w:tc>
        <w:tc>
          <w:tcPr>
            <w:tcW w:w="597" w:type="dxa"/>
            <w:shd w:val="clear" w:color="auto" w:fill="auto"/>
            <w:vAlign w:val="bottom"/>
          </w:tcPr>
          <w:p>
            <w:pPr>
              <w:rPr>
                <w:rFonts w:hint="default" w:ascii="Arial" w:hAnsi="Arial" w:cs="Arial"/>
                <w:i w:val="0"/>
                <w:color w:val="000000"/>
                <w:sz w:val="20"/>
                <w:szCs w:val="20"/>
                <w:u w:val="none"/>
              </w:rPr>
            </w:pPr>
          </w:p>
        </w:tc>
        <w:tc>
          <w:tcPr>
            <w:tcW w:w="874"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jc w:val="center"/>
        </w:trPr>
        <w:tc>
          <w:tcPr>
            <w:tcW w:w="3241" w:type="dxa"/>
            <w:gridSpan w:val="4"/>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编制单位：大余县卫生系统</w:t>
            </w:r>
          </w:p>
        </w:tc>
        <w:tc>
          <w:tcPr>
            <w:tcW w:w="1115" w:type="dxa"/>
            <w:shd w:val="clear" w:color="auto" w:fill="auto"/>
            <w:vAlign w:val="bottom"/>
          </w:tcPr>
          <w:p>
            <w:pPr>
              <w:rPr>
                <w:rFonts w:hint="default" w:ascii="Arial" w:hAnsi="Arial" w:cs="Arial"/>
                <w:i w:val="0"/>
                <w:color w:val="000000"/>
                <w:sz w:val="20"/>
                <w:szCs w:val="20"/>
                <w:u w:val="none"/>
              </w:rPr>
            </w:pPr>
          </w:p>
        </w:tc>
        <w:tc>
          <w:tcPr>
            <w:tcW w:w="1022"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2017年度</w:t>
            </w:r>
          </w:p>
        </w:tc>
        <w:tc>
          <w:tcPr>
            <w:tcW w:w="754" w:type="dxa"/>
            <w:shd w:val="clear" w:color="auto" w:fill="auto"/>
            <w:vAlign w:val="bottom"/>
          </w:tcPr>
          <w:p>
            <w:pPr>
              <w:rPr>
                <w:rFonts w:hint="default" w:ascii="Arial" w:hAnsi="Arial" w:cs="Arial"/>
                <w:i w:val="0"/>
                <w:color w:val="000000"/>
                <w:sz w:val="20"/>
                <w:szCs w:val="20"/>
                <w:u w:val="none"/>
              </w:rPr>
            </w:pPr>
          </w:p>
        </w:tc>
        <w:tc>
          <w:tcPr>
            <w:tcW w:w="722" w:type="dxa"/>
            <w:shd w:val="clear" w:color="auto" w:fill="auto"/>
            <w:vAlign w:val="bottom"/>
          </w:tcPr>
          <w:p>
            <w:pPr>
              <w:rPr>
                <w:rFonts w:hint="default" w:ascii="Arial" w:hAnsi="Arial" w:cs="Arial"/>
                <w:i w:val="0"/>
                <w:color w:val="000000"/>
                <w:sz w:val="20"/>
                <w:szCs w:val="20"/>
                <w:u w:val="none"/>
              </w:rPr>
            </w:pPr>
          </w:p>
        </w:tc>
        <w:tc>
          <w:tcPr>
            <w:tcW w:w="597" w:type="dxa"/>
            <w:shd w:val="clear" w:color="auto" w:fill="auto"/>
            <w:vAlign w:val="bottom"/>
          </w:tcPr>
          <w:p>
            <w:pPr>
              <w:rPr>
                <w:rFonts w:hint="default" w:ascii="Arial" w:hAnsi="Arial" w:cs="Arial"/>
                <w:i w:val="0"/>
                <w:color w:val="000000"/>
                <w:sz w:val="20"/>
                <w:szCs w:val="20"/>
                <w:u w:val="none"/>
              </w:rPr>
            </w:pPr>
          </w:p>
        </w:tc>
        <w:tc>
          <w:tcPr>
            <w:tcW w:w="879" w:type="dxa"/>
            <w:gridSpan w:val="2"/>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3241"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115"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102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754"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72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上缴上级支出</w:t>
            </w:r>
          </w:p>
        </w:tc>
        <w:tc>
          <w:tcPr>
            <w:tcW w:w="597"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经营支出</w:t>
            </w:r>
          </w:p>
        </w:tc>
        <w:tc>
          <w:tcPr>
            <w:tcW w:w="879" w:type="dxa"/>
            <w:gridSpan w:val="2"/>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3241"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115" w:type="dxa"/>
            <w:vMerge w:val="continue"/>
            <w:tcBorders>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022" w:type="dxa"/>
            <w:vMerge w:val="continue"/>
            <w:tcBorders>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754" w:type="dxa"/>
            <w:vMerge w:val="continue"/>
            <w:tcBorders>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722" w:type="dxa"/>
            <w:vMerge w:val="continue"/>
            <w:tcBorders>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597" w:type="dxa"/>
            <w:vMerge w:val="continue"/>
            <w:tcBorders>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879" w:type="dxa"/>
            <w:gridSpan w:val="2"/>
            <w:vMerge w:val="continue"/>
            <w:tcBorders>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2" w:hRule="atLeast"/>
          <w:jc w:val="center"/>
        </w:trPr>
        <w:tc>
          <w:tcPr>
            <w:tcW w:w="1173" w:type="dxa"/>
            <w:gridSpan w:val="3"/>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支出功能分类科目编码</w:t>
            </w:r>
          </w:p>
        </w:tc>
        <w:tc>
          <w:tcPr>
            <w:tcW w:w="2068"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11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5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97"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79"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2" w:hRule="atLeast"/>
          <w:jc w:val="center"/>
        </w:trPr>
        <w:tc>
          <w:tcPr>
            <w:tcW w:w="1173"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068"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1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5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97"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79"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2" w:hRule="atLeast"/>
          <w:jc w:val="center"/>
        </w:trPr>
        <w:tc>
          <w:tcPr>
            <w:tcW w:w="1173"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068"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1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5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72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97"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79" w:type="dxa"/>
            <w:gridSpan w:val="2"/>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391"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391"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391"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20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1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2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75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72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597"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9"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391" w:type="dxa"/>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91"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91"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0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25,548.96</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24,679.83</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869.13</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一般公共服务支出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2010302</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617.36</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617.36</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409.29</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409.29</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归口管理的行政单位离退休</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31.70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31.70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2080502</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0.27</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0.27</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377.32</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377.32</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20807</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就业补助</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2080711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就业见习补贴</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0.09</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抚恤</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154.54</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154.54</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2080801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死亡抚恤</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154.54</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154.54</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20816</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红十字事业</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2081699</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其他红十字事业支出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20825</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其他生活救助</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53.23</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53.23</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2082502</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其他农村生活救助</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53.23</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53.23</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医疗卫生与计划生育支出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24,249.51</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23,380.38</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869.13</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医疗卫生与计划生育管理事务</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402.19</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402.19</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2100101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337.84</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337.84</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2100102</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59.13</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59.13</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2100199</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其他医疗卫生与计划生育管理事务支出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5.22</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5.22</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21002</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公立医院</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15,911.45</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15,278.09</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633.36</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2100201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综合医院</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14,952.90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14,952.90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2100208</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其他专科医院</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633.36</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633.36</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2100299</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其他公立医院支出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325.20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325.20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21003</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基层医疗卫生机构</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2,476.60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2,416.85</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59.74</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2100302</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乡镇卫生院</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2,439.01</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2,379.26</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59.74</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2100399</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其他基层医疗卫生机构支出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37.59</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37.59</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4,915.36</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4,739.33</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176.03</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疾病预防控制机构</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1,495.24</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1,495.24</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2100402</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卫生监督机构</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118.11</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118.11</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2100403</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妇幼保健机构</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675.18</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675.18</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2100407</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其他专业公共卫生机构</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98.16</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98.16</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2100408</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基本公共卫生服务</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1,990.88</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1,990.88</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2100409</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重大公共卫生专项</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274.29</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98.26</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176.03</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2100410</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突发公共卫生事件应急处理</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2100499</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其他公共卫生支出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243.49</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243.49</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21006</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中医药</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2100601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中医（民族医）药专项</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计划生育事务</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494.17</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494.17</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2100716</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计划生育机构</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179.33</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179.33</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2100717</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计划生育服务</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198.71</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198.71</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2100799</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其他计划生育事务支出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116.13</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116.13</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行政事业单位医疗★</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2101199</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其他行政事业单位医疗支出★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377.48</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377.48</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国有土地使用权出让收入及对应专项债务收入安排的支出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377.48</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377.48</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2120802</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土地开发支出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17.50</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17.50</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2120899</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其他国有土地使用权出让收入安排的支出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359.98</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359.98</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农林水支出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扶贫</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2130599</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其他扶贫支出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住房保障支出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住房改革支出</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jc w:val="center"/>
        </w:trPr>
        <w:tc>
          <w:tcPr>
            <w:tcW w:w="117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2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11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10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75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72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597"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79" w:type="dxa"/>
            <w:gridSpan w:val="2"/>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bl>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p>
      <w:pPr>
        <w:autoSpaceDE w:val="0"/>
        <w:autoSpaceDN w:val="0"/>
        <w:adjustRightInd w:val="0"/>
        <w:spacing w:line="360" w:lineRule="auto"/>
        <w:jc w:val="left"/>
      </w:pPr>
      <w:r>
        <w:drawing>
          <wp:inline distT="0" distB="0" distL="114300" distR="114300">
            <wp:extent cx="5269865" cy="5078095"/>
            <wp:effectExtent l="0" t="0" r="6985"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5269865" cy="5078095"/>
                    </a:xfrm>
                    <a:prstGeom prst="rect">
                      <a:avLst/>
                    </a:prstGeom>
                    <a:noFill/>
                    <a:ln w="9525">
                      <a:noFill/>
                    </a:ln>
                  </pic:spPr>
                </pic:pic>
              </a:graphicData>
            </a:graphic>
          </wp:inline>
        </w:drawing>
      </w:r>
    </w:p>
    <w:p>
      <w:pPr>
        <w:autoSpaceDE w:val="0"/>
        <w:autoSpaceDN w:val="0"/>
        <w:adjustRightInd w:val="0"/>
        <w:spacing w:line="360" w:lineRule="auto"/>
        <w:jc w:val="left"/>
      </w:pPr>
    </w:p>
    <w:p>
      <w:pPr>
        <w:autoSpaceDE w:val="0"/>
        <w:autoSpaceDN w:val="0"/>
        <w:adjustRightInd w:val="0"/>
        <w:spacing w:line="360" w:lineRule="auto"/>
        <w:jc w:val="left"/>
        <w:rPr>
          <w:rFonts w:hint="eastAsia"/>
        </w:rPr>
      </w:pPr>
    </w:p>
    <w:tbl>
      <w:tblPr>
        <w:tblStyle w:val="6"/>
        <w:tblW w:w="8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78"/>
        <w:gridCol w:w="508"/>
        <w:gridCol w:w="479"/>
        <w:gridCol w:w="3122"/>
        <w:gridCol w:w="1348"/>
        <w:gridCol w:w="959"/>
        <w:gridCol w:w="1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8200" w:type="dxa"/>
            <w:gridSpan w:val="7"/>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8" w:type="dxa"/>
            <w:shd w:val="clear" w:color="auto" w:fill="auto"/>
            <w:vAlign w:val="bottom"/>
          </w:tcPr>
          <w:p>
            <w:pPr>
              <w:rPr>
                <w:rFonts w:hint="eastAsia" w:ascii="Arial" w:hAnsi="Arial" w:cs="Arial"/>
                <w:i w:val="0"/>
                <w:color w:val="000000"/>
                <w:sz w:val="20"/>
                <w:szCs w:val="20"/>
                <w:u w:val="none"/>
              </w:rPr>
            </w:pPr>
          </w:p>
        </w:tc>
        <w:tc>
          <w:tcPr>
            <w:tcW w:w="508" w:type="dxa"/>
            <w:shd w:val="clear" w:color="auto" w:fill="auto"/>
            <w:vAlign w:val="bottom"/>
          </w:tcPr>
          <w:p>
            <w:pPr>
              <w:rPr>
                <w:rFonts w:hint="default" w:ascii="Arial" w:hAnsi="Arial" w:cs="Arial"/>
                <w:i w:val="0"/>
                <w:color w:val="000000"/>
                <w:sz w:val="20"/>
                <w:szCs w:val="20"/>
                <w:u w:val="none"/>
              </w:rPr>
            </w:pPr>
          </w:p>
        </w:tc>
        <w:tc>
          <w:tcPr>
            <w:tcW w:w="479" w:type="dxa"/>
            <w:shd w:val="clear" w:color="auto" w:fill="auto"/>
            <w:vAlign w:val="bottom"/>
          </w:tcPr>
          <w:p>
            <w:pPr>
              <w:rPr>
                <w:rFonts w:hint="default" w:ascii="Arial" w:hAnsi="Arial" w:cs="Arial"/>
                <w:i w:val="0"/>
                <w:color w:val="000000"/>
                <w:sz w:val="20"/>
                <w:szCs w:val="20"/>
                <w:u w:val="none"/>
              </w:rPr>
            </w:pPr>
          </w:p>
        </w:tc>
        <w:tc>
          <w:tcPr>
            <w:tcW w:w="3122" w:type="dxa"/>
            <w:shd w:val="clear" w:color="auto" w:fill="auto"/>
            <w:vAlign w:val="bottom"/>
          </w:tcPr>
          <w:p>
            <w:pPr>
              <w:rPr>
                <w:rFonts w:hint="default" w:ascii="Arial" w:hAnsi="Arial" w:cs="Arial"/>
                <w:i w:val="0"/>
                <w:color w:val="000000"/>
                <w:sz w:val="20"/>
                <w:szCs w:val="20"/>
                <w:u w:val="none"/>
              </w:rPr>
            </w:pPr>
          </w:p>
        </w:tc>
        <w:tc>
          <w:tcPr>
            <w:tcW w:w="1348" w:type="dxa"/>
            <w:shd w:val="clear" w:color="auto" w:fill="auto"/>
            <w:vAlign w:val="bottom"/>
          </w:tcPr>
          <w:p>
            <w:pPr>
              <w:rPr>
                <w:rFonts w:hint="default" w:ascii="Arial" w:hAnsi="Arial" w:cs="Arial"/>
                <w:i w:val="0"/>
                <w:color w:val="000000"/>
                <w:sz w:val="20"/>
                <w:szCs w:val="20"/>
                <w:u w:val="none"/>
              </w:rPr>
            </w:pPr>
          </w:p>
        </w:tc>
        <w:tc>
          <w:tcPr>
            <w:tcW w:w="959" w:type="dxa"/>
            <w:shd w:val="clear" w:color="auto" w:fill="auto"/>
            <w:vAlign w:val="bottom"/>
          </w:tcPr>
          <w:p>
            <w:pPr>
              <w:rPr>
                <w:rFonts w:hint="default" w:ascii="Arial" w:hAnsi="Arial" w:cs="Arial"/>
                <w:i w:val="0"/>
                <w:color w:val="000000"/>
                <w:sz w:val="20"/>
                <w:szCs w:val="20"/>
                <w:u w:val="none"/>
              </w:rPr>
            </w:pPr>
          </w:p>
        </w:tc>
        <w:tc>
          <w:tcPr>
            <w:tcW w:w="1306"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587" w:type="dxa"/>
            <w:gridSpan w:val="4"/>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编制单位：大余县卫生系统</w:t>
            </w:r>
          </w:p>
        </w:tc>
        <w:tc>
          <w:tcPr>
            <w:tcW w:w="1348"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2017年度</w:t>
            </w:r>
          </w:p>
        </w:tc>
        <w:tc>
          <w:tcPr>
            <w:tcW w:w="959" w:type="dxa"/>
            <w:shd w:val="clear" w:color="auto" w:fill="auto"/>
            <w:vAlign w:val="bottom"/>
          </w:tcPr>
          <w:p>
            <w:pPr>
              <w:rPr>
                <w:rFonts w:hint="default" w:ascii="Arial" w:hAnsi="Arial" w:cs="Arial"/>
                <w:i w:val="0"/>
                <w:color w:val="000000"/>
                <w:sz w:val="20"/>
                <w:szCs w:val="20"/>
                <w:u w:val="none"/>
              </w:rPr>
            </w:pPr>
          </w:p>
        </w:tc>
        <w:tc>
          <w:tcPr>
            <w:tcW w:w="1306"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4587"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348"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959"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306"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465" w:type="dxa"/>
            <w:gridSpan w:val="3"/>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  科目编码</w:t>
            </w:r>
          </w:p>
        </w:tc>
        <w:tc>
          <w:tcPr>
            <w:tcW w:w="3122"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34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06"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465"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3122"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4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06"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465"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3122"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4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06"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478"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508"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479"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312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3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5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06"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478" w:type="dxa"/>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08"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79"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12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9,047.71</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8,178.58</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一般公共服务支出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2010302</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617.27</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617.27</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409.29</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409.29</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2080501</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归口管理的行政单位离退休</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31.70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31.70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2080502</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0.27</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0.27</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377.32</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377.32</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抚恤</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154.54</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154.54</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2080801</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死亡抚恤</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154.54</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154.54</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20816</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红十字事业</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2081699</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其他红十字事业支出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20825</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其他生活救助</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53.23</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53.23</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2082502</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其他农村生活救助</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53.23</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53.23</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医疗卫生与计划生育支出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8,125.84</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7,256.70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医疗卫生与计划生育管理事务</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397.84</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397.84</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2100101</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337.84</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337.84</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2100102</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55.78</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55.78</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2100199</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其他医疗卫生与计划生育管理事务支出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4.22</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4.22</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21002</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公立医院</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1,359.75</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726.39</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2100201</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综合医院</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401.20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401.20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2100208</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其他专科医院</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633.36</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2100299</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其他公立医院支出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325.20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325.20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21003</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基层医疗卫生机构</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1,600.60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1,540.86</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2100302</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乡镇卫生院</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1,563.01</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1,503.27</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2100399</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其他基层医疗卫生机构支出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37.59</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37.59</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4,223.73</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4,047.70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176.03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2100401</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疾病预防控制机构</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828.21</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828.21</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2100402</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卫生监督机构</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118.11</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118.11</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2100403</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妇幼保健机构</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675.18</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675.18</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2100407</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其他专业公共卫生机构</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83.93</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83.93</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2100408</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基本公共卫生服务</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1,990.08</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1,990.08</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2100409</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重大公共卫生专项</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264.72</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88.69</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176.03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2100410</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突发公共卫生事件应急处理</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2100499</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其他公共卫生支出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243.49</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243.49</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21006</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中医药</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2100601</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中医（民族医）药专项</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计划生育事务</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494.17</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494.17</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2100716</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计划生育机构</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179.33</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179.33</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2100717</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计划生育服务</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198.71</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198.71</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2100799</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其他计划生育事务支出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116.13</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116.13</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行政事业单位医疗★</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2101199</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其他行政事业单位医疗支出★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39.74</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农林水支出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扶贫</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2130599</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其他扶贫支出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41.04</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住房保障支出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w:t>
            </w:r>
          </w:p>
        </w:tc>
        <w:tc>
          <w:tcPr>
            <w:tcW w:w="312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住房改革支出</w:t>
            </w:r>
          </w:p>
        </w:tc>
        <w:tc>
          <w:tcPr>
            <w:tcW w:w="13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9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130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65" w:type="dxa"/>
            <w:gridSpan w:val="3"/>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3122" w:type="dxa"/>
            <w:tcBorders>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1348" w:type="dxa"/>
            <w:tcBorders>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959" w:type="dxa"/>
            <w:tcBorders>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263.37</w:t>
            </w:r>
          </w:p>
        </w:tc>
        <w:tc>
          <w:tcPr>
            <w:tcW w:w="1306" w:type="dxa"/>
            <w:tcBorders>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bl>
    <w:tbl>
      <w:tblPr>
        <w:tblStyle w:val="6"/>
        <w:tblpPr w:leftFromText="180" w:rightFromText="180" w:vertAnchor="text" w:horzAnchor="page" w:tblpX="1729" w:tblpY="1961"/>
        <w:tblOverlap w:val="never"/>
        <w:tblW w:w="7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446"/>
        <w:gridCol w:w="1169"/>
        <w:gridCol w:w="1838"/>
        <w:gridCol w:w="12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665" w:type="dxa"/>
            <w:gridSpan w:val="4"/>
            <w:shd w:val="clear" w:color="auto" w:fill="auto"/>
            <w:vAlign w:val="bottom"/>
          </w:tcPr>
          <w:p>
            <w:pPr>
              <w:keepNext w:val="0"/>
              <w:keepLines w:val="0"/>
              <w:widowControl/>
              <w:suppressLineNumbers w:val="0"/>
              <w:jc w:val="both"/>
              <w:textAlignment w:val="bottom"/>
              <w:rPr>
                <w:rFonts w:hint="eastAsia" w:ascii="宋体" w:hAnsi="宋体" w:eastAsia="宋体" w:cs="宋体"/>
                <w:i w:val="0"/>
                <w:color w:val="000000"/>
                <w:sz w:val="44"/>
                <w:szCs w:val="44"/>
                <w:u w:val="none"/>
                <w:lang w:eastAsia="zh-CN"/>
              </w:rPr>
            </w:pPr>
            <w:r>
              <w:rPr>
                <w:rFonts w:hint="eastAsia" w:ascii="宋体" w:hAnsi="宋体" w:cs="宋体"/>
                <w:i w:val="0"/>
                <w:color w:val="000000"/>
                <w:sz w:val="44"/>
                <w:szCs w:val="44"/>
                <w:u w:val="none"/>
                <w:lang w:eastAsia="zh-CN"/>
              </w:rPr>
              <w:t xml:space="preserve"> </w:t>
            </w:r>
            <w:r>
              <w:drawing>
                <wp:inline distT="0" distB="0" distL="114300" distR="114300">
                  <wp:extent cx="4841240" cy="6557010"/>
                  <wp:effectExtent l="0" t="0" r="16510" b="1524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1"/>
                          <a:stretch>
                            <a:fillRect/>
                          </a:stretch>
                        </pic:blipFill>
                        <pic:spPr>
                          <a:xfrm>
                            <a:off x="0" y="0"/>
                            <a:ext cx="4841240" cy="6557010"/>
                          </a:xfrm>
                          <a:prstGeom prst="rect">
                            <a:avLst/>
                          </a:prstGeom>
                          <a:noFill/>
                          <a:ln w="9525">
                            <a:noFill/>
                          </a:ln>
                        </pic:spPr>
                      </pic:pic>
                    </a:graphicData>
                  </a:graphic>
                </wp:inline>
              </w:drawing>
            </w:r>
          </w:p>
          <w:p>
            <w:pPr>
              <w:keepNext w:val="0"/>
              <w:keepLines w:val="0"/>
              <w:widowControl/>
              <w:suppressLineNumbers w:val="0"/>
              <w:jc w:val="center"/>
              <w:textAlignment w:val="bottom"/>
              <w:rPr>
                <w:rFonts w:hint="eastAsia" w:ascii="宋体" w:hAnsi="宋体" w:eastAsia="宋体" w:cs="宋体"/>
                <w:i w:val="0"/>
                <w:color w:val="000000"/>
                <w:sz w:val="44"/>
                <w:szCs w:val="44"/>
                <w:u w:val="none"/>
              </w:rPr>
            </w:pPr>
          </w:p>
          <w:p>
            <w:pPr>
              <w:keepNext w:val="0"/>
              <w:keepLines w:val="0"/>
              <w:widowControl/>
              <w:suppressLineNumbers w:val="0"/>
              <w:jc w:val="center"/>
              <w:textAlignment w:val="bottom"/>
              <w:rPr>
                <w:rFonts w:hint="eastAsia" w:ascii="宋体" w:hAnsi="宋体" w:eastAsia="宋体" w:cs="宋体"/>
                <w:i w:val="0"/>
                <w:color w:val="000000"/>
                <w:sz w:val="44"/>
                <w:szCs w:val="44"/>
                <w:u w:val="none"/>
              </w:rPr>
            </w:pPr>
          </w:p>
          <w:p>
            <w:pPr>
              <w:keepNext w:val="0"/>
              <w:keepLines w:val="0"/>
              <w:widowControl/>
              <w:suppressLineNumbers w:val="0"/>
              <w:jc w:val="center"/>
              <w:textAlignment w:val="bottom"/>
              <w:rPr>
                <w:rFonts w:hint="eastAsia" w:ascii="宋体" w:hAnsi="宋体" w:eastAsia="宋体" w:cs="宋体"/>
                <w:i w:val="0"/>
                <w:color w:val="000000"/>
                <w:sz w:val="44"/>
                <w:szCs w:val="44"/>
                <w:u w:val="none"/>
              </w:rPr>
            </w:pPr>
          </w:p>
          <w:p>
            <w:pPr>
              <w:keepNext w:val="0"/>
              <w:keepLines w:val="0"/>
              <w:widowControl/>
              <w:suppressLineNumbers w:val="0"/>
              <w:jc w:val="center"/>
              <w:textAlignment w:val="bottom"/>
              <w:rPr>
                <w:rFonts w:hint="eastAsia" w:ascii="宋体" w:hAnsi="宋体" w:eastAsia="宋体" w:cs="宋体"/>
                <w:i w:val="0"/>
                <w:color w:val="000000"/>
                <w:sz w:val="44"/>
                <w:szCs w:val="44"/>
                <w:u w:val="none"/>
              </w:rPr>
            </w:pPr>
          </w:p>
          <w:p>
            <w:pPr>
              <w:keepNext w:val="0"/>
              <w:keepLines w:val="0"/>
              <w:widowControl/>
              <w:suppressLineNumbers w:val="0"/>
              <w:jc w:val="center"/>
              <w:textAlignment w:val="bottom"/>
              <w:rPr>
                <w:rFonts w:hint="eastAsia" w:ascii="宋体" w:hAnsi="宋体" w:eastAsia="宋体" w:cs="宋体"/>
                <w:i w:val="0"/>
                <w:color w:val="000000"/>
                <w:sz w:val="44"/>
                <w:szCs w:val="44"/>
                <w:u w:val="none"/>
              </w:rPr>
            </w:pPr>
          </w:p>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sz w:val="44"/>
                <w:szCs w:val="44"/>
                <w:u w:val="none"/>
              </w:rPr>
              <w:t>一般公共预算财政拨款“三公”经费支出决算表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3446" w:type="dxa"/>
            <w:shd w:val="clear" w:color="auto" w:fill="auto"/>
            <w:vAlign w:val="bottom"/>
          </w:tcPr>
          <w:p>
            <w:pPr>
              <w:rPr>
                <w:rFonts w:hint="eastAsia" w:ascii="Arial" w:hAnsi="Arial" w:cs="Arial"/>
                <w:i w:val="0"/>
                <w:color w:val="000000"/>
                <w:sz w:val="20"/>
                <w:szCs w:val="20"/>
                <w:u w:val="none"/>
              </w:rPr>
            </w:pPr>
          </w:p>
        </w:tc>
        <w:tc>
          <w:tcPr>
            <w:tcW w:w="1169" w:type="dxa"/>
            <w:shd w:val="clear" w:color="auto" w:fill="auto"/>
            <w:vAlign w:val="bottom"/>
          </w:tcPr>
          <w:p>
            <w:pPr>
              <w:rPr>
                <w:rFonts w:hint="default" w:ascii="Arial" w:hAnsi="Arial" w:cs="Arial"/>
                <w:i w:val="0"/>
                <w:color w:val="000000"/>
                <w:sz w:val="20"/>
                <w:szCs w:val="20"/>
                <w:u w:val="none"/>
              </w:rPr>
            </w:pPr>
          </w:p>
        </w:tc>
        <w:tc>
          <w:tcPr>
            <w:tcW w:w="1838" w:type="dxa"/>
            <w:shd w:val="clear" w:color="auto" w:fill="auto"/>
            <w:vAlign w:val="bottom"/>
          </w:tcPr>
          <w:p>
            <w:pPr>
              <w:rPr>
                <w:rFonts w:hint="default" w:ascii="Arial" w:hAnsi="Arial" w:cs="Arial"/>
                <w:i w:val="0"/>
                <w:color w:val="000000"/>
                <w:sz w:val="20"/>
                <w:szCs w:val="20"/>
                <w:u w:val="none"/>
              </w:rPr>
            </w:pPr>
          </w:p>
        </w:tc>
        <w:tc>
          <w:tcPr>
            <w:tcW w:w="1212"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3446"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编制单位：大余县卫生系统</w:t>
            </w:r>
          </w:p>
        </w:tc>
        <w:tc>
          <w:tcPr>
            <w:tcW w:w="1169"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2017年度</w:t>
            </w:r>
          </w:p>
        </w:tc>
        <w:tc>
          <w:tcPr>
            <w:tcW w:w="1838" w:type="dxa"/>
            <w:shd w:val="clear" w:color="auto" w:fill="auto"/>
            <w:vAlign w:val="bottom"/>
          </w:tcPr>
          <w:p>
            <w:pPr>
              <w:rPr>
                <w:rFonts w:hint="default" w:ascii="Arial" w:hAnsi="Arial" w:cs="Arial"/>
                <w:i w:val="0"/>
                <w:color w:val="000000"/>
                <w:sz w:val="20"/>
                <w:szCs w:val="20"/>
                <w:u w:val="none"/>
              </w:rPr>
            </w:pPr>
          </w:p>
        </w:tc>
        <w:tc>
          <w:tcPr>
            <w:tcW w:w="1212"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169"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83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年初预算数</w:t>
            </w:r>
          </w:p>
        </w:tc>
        <w:tc>
          <w:tcPr>
            <w:tcW w:w="1212"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169"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3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1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一、“三公”经费支出</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200.41</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1.因公出国（境）费</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2.公务用车购置及运行维护费</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84.25</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（1）公务用车购置费</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（2）公务用车运行维护费</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84.25</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3.公务接待费</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116.16</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（1）国内接待费</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116.16</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其中：外事接待费</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（2）国（境）外接待费</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二、相关统计数</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1.因公出国（境）团组数（个）</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2.因公出国（境）人次数（人）</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3.公务用车购置数（辆）</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4.公务用车保有量（辆）</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5.国内公务接待批次（个）</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其中：外事接待批次（个）</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6.国内公务接待人次（人）</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其中：外事接待人次（人）</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7.国（境）外公务接待批次（个）</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44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8.国（境）外公务接待人次（人）</w:t>
            </w:r>
          </w:p>
        </w:tc>
        <w:tc>
          <w:tcPr>
            <w:tcW w:w="116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838"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21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0" w:hRule="atLeast"/>
        </w:trPr>
        <w:tc>
          <w:tcPr>
            <w:tcW w:w="7665"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注：2017年度预算数为“三公”经费年初财政拨款预算数，决算数是包括当年财政拨款预算和以前年度结转结余资金安排的实际支出。</w:t>
            </w:r>
          </w:p>
        </w:tc>
      </w:tr>
    </w:tbl>
    <w:p>
      <w:pPr>
        <w:autoSpaceDE w:val="0"/>
        <w:autoSpaceDN w:val="0"/>
        <w:adjustRightInd w:val="0"/>
        <w:spacing w:line="360" w:lineRule="auto"/>
        <w:jc w:val="left"/>
        <w:rPr>
          <w:rFonts w:hint="eastAsia" w:asciiTheme="minorEastAsia" w:hAnsiTheme="minorEastAsia" w:eastAsiaTheme="minorEastAsia" w:cstheme="minorEastAsia"/>
          <w:b/>
          <w:sz w:val="32"/>
          <w:szCs w:val="32"/>
          <w:lang w:eastAsia="zh-CN"/>
        </w:rPr>
      </w:pPr>
      <w:r>
        <w:rPr>
          <w:rFonts w:hint="eastAsia" w:asciiTheme="minorEastAsia" w:hAnsiTheme="minorEastAsia" w:eastAsiaTheme="minorEastAsia" w:cstheme="minorEastAsia"/>
          <w:b/>
          <w:sz w:val="32"/>
          <w:szCs w:val="32"/>
          <w:lang w:eastAsia="zh-CN"/>
        </w:rPr>
        <w:t xml:space="preserve"> </w:t>
      </w:r>
    </w:p>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tbl>
      <w:tblPr>
        <w:tblStyle w:val="6"/>
        <w:tblpPr w:leftFromText="180" w:rightFromText="180" w:vertAnchor="text" w:horzAnchor="page" w:tblpX="1829" w:tblpY="619"/>
        <w:tblOverlap w:val="never"/>
        <w:tblW w:w="846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242"/>
        <w:gridCol w:w="1378"/>
        <w:gridCol w:w="18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8466" w:type="dxa"/>
            <w:gridSpan w:val="3"/>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44"/>
                <w:szCs w:val="44"/>
                <w:u w:val="none"/>
                <w:lang w:val="en-US" w:eastAsia="zh-CN" w:bidi="ar"/>
              </w:rPr>
            </w:pPr>
          </w:p>
          <w:p>
            <w:pPr>
              <w:keepNext w:val="0"/>
              <w:keepLines w:val="0"/>
              <w:widowControl/>
              <w:suppressLineNumbers w:val="0"/>
              <w:jc w:val="center"/>
              <w:textAlignment w:val="bottom"/>
              <w:rPr>
                <w:rFonts w:hint="eastAsia" w:ascii="宋体" w:hAnsi="宋体" w:eastAsia="宋体" w:cs="宋体"/>
                <w:i w:val="0"/>
                <w:color w:val="000000"/>
                <w:kern w:val="0"/>
                <w:sz w:val="44"/>
                <w:szCs w:val="44"/>
                <w:u w:val="none"/>
                <w:lang w:val="en-US" w:eastAsia="zh-CN" w:bidi="ar"/>
              </w:rPr>
            </w:pPr>
          </w:p>
          <w:p>
            <w:pPr>
              <w:keepNext w:val="0"/>
              <w:keepLines w:val="0"/>
              <w:widowControl/>
              <w:suppressLineNumbers w:val="0"/>
              <w:jc w:val="center"/>
              <w:textAlignment w:val="bottom"/>
              <w:rPr>
                <w:rFonts w:hint="eastAsia" w:ascii="宋体" w:hAnsi="宋体" w:eastAsia="宋体" w:cs="宋体"/>
                <w:i w:val="0"/>
                <w:color w:val="000000"/>
                <w:kern w:val="0"/>
                <w:sz w:val="44"/>
                <w:szCs w:val="44"/>
                <w:u w:val="none"/>
                <w:lang w:val="en-US" w:eastAsia="zh-CN" w:bidi="ar"/>
              </w:rPr>
            </w:pPr>
            <w:r>
              <w:drawing>
                <wp:inline distT="0" distB="0" distL="114300" distR="114300">
                  <wp:extent cx="5355590" cy="2231390"/>
                  <wp:effectExtent l="0" t="0" r="16510" b="1651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2"/>
                          <a:stretch>
                            <a:fillRect/>
                          </a:stretch>
                        </pic:blipFill>
                        <pic:spPr>
                          <a:xfrm>
                            <a:off x="0" y="0"/>
                            <a:ext cx="5355590" cy="2231390"/>
                          </a:xfrm>
                          <a:prstGeom prst="rect">
                            <a:avLst/>
                          </a:prstGeom>
                          <a:noFill/>
                          <a:ln w="9525">
                            <a:noFill/>
                          </a:ln>
                        </pic:spPr>
                      </pic:pic>
                    </a:graphicData>
                  </a:graphic>
                </wp:inline>
              </w:drawing>
            </w:r>
          </w:p>
          <w:p>
            <w:pPr>
              <w:keepNext w:val="0"/>
              <w:keepLines w:val="0"/>
              <w:widowControl/>
              <w:suppressLineNumbers w:val="0"/>
              <w:jc w:val="center"/>
              <w:textAlignment w:val="bottom"/>
              <w:rPr>
                <w:rFonts w:hint="eastAsia" w:ascii="宋体" w:hAnsi="宋体" w:eastAsia="宋体" w:cs="宋体"/>
                <w:i w:val="0"/>
                <w:color w:val="000000"/>
                <w:kern w:val="0"/>
                <w:sz w:val="44"/>
                <w:szCs w:val="44"/>
                <w:u w:val="none"/>
                <w:lang w:val="en-US" w:eastAsia="zh-CN" w:bidi="ar"/>
              </w:rPr>
            </w:pPr>
          </w:p>
          <w:p>
            <w:pPr>
              <w:keepNext w:val="0"/>
              <w:keepLines w:val="0"/>
              <w:widowControl/>
              <w:suppressLineNumbers w:val="0"/>
              <w:jc w:val="center"/>
              <w:textAlignment w:val="bottom"/>
              <w:rPr>
                <w:rFonts w:hint="eastAsia" w:ascii="宋体" w:hAnsi="宋体" w:eastAsia="宋体" w:cs="宋体"/>
                <w:i w:val="0"/>
                <w:color w:val="000000"/>
                <w:kern w:val="0"/>
                <w:sz w:val="44"/>
                <w:szCs w:val="44"/>
                <w:u w:val="none"/>
                <w:lang w:val="en-US" w:eastAsia="zh-CN" w:bidi="ar"/>
              </w:rPr>
            </w:pPr>
          </w:p>
          <w:p>
            <w:pPr>
              <w:keepNext w:val="0"/>
              <w:keepLines w:val="0"/>
              <w:widowControl/>
              <w:suppressLineNumbers w:val="0"/>
              <w:jc w:val="center"/>
              <w:textAlignment w:val="bottom"/>
              <w:rPr>
                <w:rFonts w:hint="eastAsia" w:ascii="宋体" w:hAnsi="宋体" w:eastAsia="宋体" w:cs="宋体"/>
                <w:i w:val="0"/>
                <w:color w:val="000000"/>
                <w:kern w:val="0"/>
                <w:sz w:val="44"/>
                <w:szCs w:val="44"/>
                <w:u w:val="none"/>
                <w:lang w:val="en-US" w:eastAsia="zh-CN" w:bidi="ar"/>
              </w:rPr>
            </w:pPr>
          </w:p>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国有资产占用情况表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5242" w:type="dxa"/>
            <w:shd w:val="clear" w:color="auto" w:fill="auto"/>
            <w:vAlign w:val="bottom"/>
          </w:tcPr>
          <w:p>
            <w:pPr>
              <w:rPr>
                <w:rFonts w:hint="eastAsia" w:ascii="Arial" w:hAnsi="Arial" w:cs="Arial"/>
                <w:i w:val="0"/>
                <w:color w:val="000000"/>
                <w:sz w:val="20"/>
                <w:szCs w:val="20"/>
                <w:u w:val="none"/>
              </w:rPr>
            </w:pPr>
          </w:p>
        </w:tc>
        <w:tc>
          <w:tcPr>
            <w:tcW w:w="1378" w:type="dxa"/>
            <w:shd w:val="clear" w:color="auto" w:fill="auto"/>
            <w:vAlign w:val="bottom"/>
          </w:tcPr>
          <w:p>
            <w:pPr>
              <w:rPr>
                <w:rFonts w:hint="default" w:ascii="Arial" w:hAnsi="Arial" w:cs="Arial"/>
                <w:i w:val="0"/>
                <w:color w:val="000000"/>
                <w:sz w:val="20"/>
                <w:szCs w:val="20"/>
                <w:u w:val="none"/>
              </w:rPr>
            </w:pPr>
          </w:p>
        </w:tc>
        <w:tc>
          <w:tcPr>
            <w:tcW w:w="1846"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5242"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编制单位：大余县卫生系统</w:t>
            </w:r>
          </w:p>
        </w:tc>
        <w:tc>
          <w:tcPr>
            <w:tcW w:w="1378"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2017年度</w:t>
            </w:r>
          </w:p>
        </w:tc>
        <w:tc>
          <w:tcPr>
            <w:tcW w:w="1846"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单位：台、辆、套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5242" w:type="dxa"/>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37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846"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5242"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一、车辆数合计(台、辆)</w:t>
            </w:r>
          </w:p>
        </w:tc>
        <w:tc>
          <w:tcPr>
            <w:tcW w:w="137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5242"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137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5242"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2.一般公务用车</w:t>
            </w:r>
          </w:p>
        </w:tc>
        <w:tc>
          <w:tcPr>
            <w:tcW w:w="137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5242"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3.一般执法执勤用车</w:t>
            </w:r>
          </w:p>
        </w:tc>
        <w:tc>
          <w:tcPr>
            <w:tcW w:w="137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5242"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4.特种专业技术用车</w:t>
            </w:r>
          </w:p>
        </w:tc>
        <w:tc>
          <w:tcPr>
            <w:tcW w:w="137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5242"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5.其他用车</w:t>
            </w:r>
          </w:p>
        </w:tc>
        <w:tc>
          <w:tcPr>
            <w:tcW w:w="137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5242"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二、单价50万元（含）以上通用设备（台，套）</w:t>
            </w:r>
          </w:p>
        </w:tc>
        <w:tc>
          <w:tcPr>
            <w:tcW w:w="137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8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5242"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三、单价100万元（含）以上专用设备（台，套）</w:t>
            </w:r>
          </w:p>
        </w:tc>
        <w:tc>
          <w:tcPr>
            <w:tcW w:w="137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8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r>
    </w:tbl>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p>
      <w:pPr>
        <w:autoSpaceDE w:val="0"/>
        <w:autoSpaceDN w:val="0"/>
        <w:adjustRightInd w:val="0"/>
        <w:spacing w:line="360" w:lineRule="auto"/>
        <w:jc w:val="left"/>
        <w:rPr>
          <w:rFonts w:hint="eastAsia" w:asciiTheme="minorEastAsia" w:hAnsiTheme="minorEastAsia" w:eastAsiaTheme="minorEastAsia" w:cstheme="minorEastAsia"/>
          <w:b/>
          <w:sz w:val="32"/>
          <w:szCs w:val="32"/>
        </w:rPr>
      </w:pPr>
    </w:p>
    <w:p>
      <w:pPr>
        <w:autoSpaceDE w:val="0"/>
        <w:autoSpaceDN w:val="0"/>
        <w:adjustRightInd w:val="0"/>
        <w:spacing w:line="360" w:lineRule="auto"/>
        <w:jc w:val="left"/>
        <w:rPr>
          <w:rFonts w:hint="eastAsia" w:asciiTheme="minorEastAsia" w:hAnsiTheme="minorEastAsia" w:eastAsiaTheme="minorEastAsia" w:cstheme="minorEastAsia"/>
          <w:b/>
          <w:sz w:val="32"/>
          <w:szCs w:val="32"/>
          <w:lang w:eastAsia="zh-CN"/>
        </w:rPr>
      </w:pPr>
    </w:p>
    <w:p>
      <w:pPr>
        <w:autoSpaceDE w:val="0"/>
        <w:autoSpaceDN w:val="0"/>
        <w:adjustRightInd w:val="0"/>
        <w:spacing w:line="360" w:lineRule="auto"/>
        <w:jc w:val="left"/>
        <w:rPr>
          <w:rFonts w:hint="eastAsia" w:asciiTheme="minorEastAsia" w:hAnsiTheme="minorEastAsia" w:eastAsiaTheme="minorEastAsia" w:cstheme="minorEastAsia"/>
          <w:b/>
          <w:sz w:val="32"/>
          <w:szCs w:val="32"/>
          <w:lang w:eastAsia="zh-CN"/>
        </w:rPr>
      </w:pPr>
    </w:p>
    <w:p>
      <w:pPr>
        <w:autoSpaceDE w:val="0"/>
        <w:autoSpaceDN w:val="0"/>
        <w:adjustRightInd w:val="0"/>
        <w:spacing w:line="360" w:lineRule="auto"/>
        <w:jc w:val="left"/>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lang w:eastAsia="zh-CN"/>
        </w:rPr>
        <w:t>第三部分</w:t>
      </w:r>
      <w:r>
        <w:rPr>
          <w:rFonts w:hint="eastAsia" w:asciiTheme="minorEastAsia" w:hAnsiTheme="minorEastAsia" w:eastAsiaTheme="minorEastAsia" w:cstheme="minorEastAsia"/>
          <w:b/>
          <w:sz w:val="32"/>
          <w:szCs w:val="32"/>
          <w:lang w:val="en-US" w:eastAsia="zh-CN"/>
        </w:rPr>
        <w:t xml:space="preserve">   </w:t>
      </w:r>
      <w:r>
        <w:rPr>
          <w:rFonts w:hint="eastAsia" w:asciiTheme="minorEastAsia" w:hAnsiTheme="minorEastAsia" w:eastAsiaTheme="minorEastAsia" w:cstheme="minorEastAsia"/>
          <w:b/>
          <w:sz w:val="32"/>
          <w:szCs w:val="32"/>
        </w:rPr>
        <w:t>2017年度部门决算情况说明</w:t>
      </w:r>
    </w:p>
    <w:p>
      <w:pPr>
        <w:ind w:firstLine="630"/>
        <w:jc w:val="left"/>
        <w:rPr>
          <w:rFonts w:hint="eastAsia" w:asciiTheme="minorEastAsia" w:hAnsiTheme="minorEastAsia" w:eastAsiaTheme="minorEastAsia" w:cstheme="minorEastAsia"/>
          <w:sz w:val="32"/>
          <w:szCs w:val="32"/>
        </w:rPr>
      </w:pP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一、收入决算情况说明</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本部门2017年度收入总计 </w:t>
      </w:r>
      <w:r>
        <w:rPr>
          <w:rFonts w:hint="eastAsia" w:asciiTheme="minorEastAsia" w:hAnsiTheme="minorEastAsia" w:eastAsiaTheme="minorEastAsia" w:cstheme="minorEastAsia"/>
          <w:sz w:val="32"/>
          <w:szCs w:val="32"/>
          <w:lang w:val="en-US" w:eastAsia="zh-CN"/>
        </w:rPr>
        <w:t>30300</w:t>
      </w:r>
      <w:r>
        <w:rPr>
          <w:rFonts w:hint="eastAsia" w:asciiTheme="minorEastAsia" w:hAnsiTheme="minorEastAsia" w:eastAsiaTheme="minorEastAsia" w:cstheme="minorEastAsia"/>
          <w:sz w:val="32"/>
          <w:szCs w:val="32"/>
        </w:rPr>
        <w:t xml:space="preserve">万元，其中年初结转和结余 </w:t>
      </w:r>
      <w:r>
        <w:rPr>
          <w:rFonts w:hint="eastAsia" w:asciiTheme="minorEastAsia" w:hAnsiTheme="minorEastAsia" w:eastAsiaTheme="minorEastAsia" w:cstheme="minorEastAsia"/>
          <w:sz w:val="32"/>
          <w:szCs w:val="32"/>
          <w:lang w:val="en-US" w:eastAsia="zh-CN"/>
        </w:rPr>
        <w:t>5842</w:t>
      </w:r>
      <w:r>
        <w:rPr>
          <w:rFonts w:hint="eastAsia" w:asciiTheme="minorEastAsia" w:hAnsiTheme="minorEastAsia" w:eastAsiaTheme="minorEastAsia" w:cstheme="minorEastAsia"/>
          <w:sz w:val="32"/>
          <w:szCs w:val="32"/>
        </w:rPr>
        <w:t xml:space="preserve"> 万元，较2016年增加</w:t>
      </w:r>
      <w:r>
        <w:rPr>
          <w:rFonts w:hint="eastAsia" w:asciiTheme="minorEastAsia" w:hAnsiTheme="minorEastAsia" w:eastAsiaTheme="minorEastAsia" w:cstheme="minorEastAsia"/>
          <w:sz w:val="32"/>
          <w:szCs w:val="32"/>
          <w:lang w:val="en-US" w:eastAsia="zh-CN"/>
        </w:rPr>
        <w:t>1969</w:t>
      </w:r>
      <w:r>
        <w:rPr>
          <w:rFonts w:hint="eastAsia" w:asciiTheme="minorEastAsia" w:hAnsiTheme="minorEastAsia" w:eastAsiaTheme="minorEastAsia" w:cstheme="minorEastAsia"/>
          <w:sz w:val="32"/>
          <w:szCs w:val="32"/>
        </w:rPr>
        <w:t xml:space="preserve"> 万元，增长 </w:t>
      </w:r>
      <w:r>
        <w:rPr>
          <w:rFonts w:hint="eastAsia" w:asciiTheme="minorEastAsia" w:hAnsiTheme="minorEastAsia" w:eastAsiaTheme="minorEastAsia" w:cstheme="minorEastAsia"/>
          <w:sz w:val="32"/>
          <w:szCs w:val="32"/>
          <w:lang w:val="en-US" w:eastAsia="zh-CN"/>
        </w:rPr>
        <w:t>6.5</w:t>
      </w:r>
      <w:r>
        <w:rPr>
          <w:rFonts w:hint="eastAsia" w:asciiTheme="minorEastAsia" w:hAnsiTheme="minorEastAsia" w:eastAsiaTheme="minorEastAsia" w:cstheme="minorEastAsia"/>
          <w:sz w:val="32"/>
          <w:szCs w:val="32"/>
        </w:rPr>
        <w:t xml:space="preserve"> %；本年收入合计 </w:t>
      </w:r>
      <w:r>
        <w:rPr>
          <w:rFonts w:hint="eastAsia" w:asciiTheme="minorEastAsia" w:hAnsiTheme="minorEastAsia" w:eastAsiaTheme="minorEastAsia" w:cstheme="minorEastAsia"/>
          <w:sz w:val="32"/>
          <w:szCs w:val="32"/>
          <w:lang w:val="en-US" w:eastAsia="zh-CN"/>
        </w:rPr>
        <w:t>24458</w:t>
      </w:r>
      <w:r>
        <w:rPr>
          <w:rFonts w:hint="eastAsia" w:asciiTheme="minorEastAsia" w:hAnsiTheme="minorEastAsia" w:eastAsiaTheme="minorEastAsia" w:cstheme="minorEastAsia"/>
          <w:sz w:val="32"/>
          <w:szCs w:val="32"/>
        </w:rPr>
        <w:t xml:space="preserve">万元，较2016年减少 </w:t>
      </w:r>
      <w:r>
        <w:rPr>
          <w:rFonts w:hint="eastAsia" w:asciiTheme="minorEastAsia" w:hAnsiTheme="minorEastAsia" w:eastAsiaTheme="minorEastAsia" w:cstheme="minorEastAsia"/>
          <w:sz w:val="32"/>
          <w:szCs w:val="32"/>
          <w:lang w:val="en-US" w:eastAsia="zh-CN"/>
        </w:rPr>
        <w:t>3202</w:t>
      </w:r>
      <w:r>
        <w:rPr>
          <w:rFonts w:hint="eastAsia" w:asciiTheme="minorEastAsia" w:hAnsiTheme="minorEastAsia" w:eastAsiaTheme="minorEastAsia" w:cstheme="minorEastAsia"/>
          <w:sz w:val="32"/>
          <w:szCs w:val="32"/>
        </w:rPr>
        <w:t xml:space="preserve"> 万元，下降</w:t>
      </w:r>
      <w:r>
        <w:rPr>
          <w:rFonts w:hint="eastAsia" w:asciiTheme="minorEastAsia" w:hAnsiTheme="minorEastAsia" w:eastAsiaTheme="minorEastAsia" w:cstheme="minorEastAsia"/>
          <w:sz w:val="32"/>
          <w:szCs w:val="32"/>
          <w:lang w:val="en-US" w:eastAsia="zh-CN"/>
        </w:rPr>
        <w:t>13.1</w:t>
      </w:r>
      <w:r>
        <w:rPr>
          <w:rFonts w:hint="eastAsia" w:asciiTheme="minorEastAsia" w:hAnsiTheme="minorEastAsia" w:eastAsiaTheme="minorEastAsia" w:cstheme="minorEastAsia"/>
          <w:sz w:val="32"/>
          <w:szCs w:val="32"/>
        </w:rPr>
        <w:t xml:space="preserve"> %，主要原因是：</w:t>
      </w:r>
      <w:r>
        <w:rPr>
          <w:rFonts w:hint="eastAsia" w:asciiTheme="minorEastAsia" w:hAnsiTheme="minorEastAsia" w:eastAsiaTheme="minorEastAsia" w:cstheme="minorEastAsia"/>
          <w:sz w:val="32"/>
          <w:szCs w:val="32"/>
          <w:lang w:eastAsia="zh-CN"/>
        </w:rPr>
        <w:t>民营医疗业务能力增强，公立医院年老技术人财逐年减少，导致业务下降</w:t>
      </w:r>
      <w:r>
        <w:rPr>
          <w:rFonts w:hint="eastAsia" w:asciiTheme="minorEastAsia" w:hAnsiTheme="minorEastAsia" w:eastAsiaTheme="minorEastAsia" w:cstheme="minorEastAsia"/>
          <w:sz w:val="32"/>
          <w:szCs w:val="32"/>
        </w:rPr>
        <w:t>。</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本年收入的具体构成为：财政拨款收入 </w:t>
      </w:r>
      <w:r>
        <w:rPr>
          <w:rFonts w:hint="eastAsia" w:asciiTheme="minorEastAsia" w:hAnsiTheme="minorEastAsia" w:eastAsiaTheme="minorEastAsia" w:cstheme="minorEastAsia"/>
          <w:sz w:val="32"/>
          <w:szCs w:val="32"/>
          <w:lang w:val="en-US" w:eastAsia="zh-CN"/>
        </w:rPr>
        <w:t>7956</w:t>
      </w:r>
      <w:r>
        <w:rPr>
          <w:rFonts w:hint="eastAsia" w:asciiTheme="minorEastAsia" w:hAnsiTheme="minorEastAsia" w:eastAsiaTheme="minorEastAsia" w:cstheme="minorEastAsia"/>
          <w:sz w:val="32"/>
          <w:szCs w:val="32"/>
        </w:rPr>
        <w:t xml:space="preserve"> 万元，占 </w:t>
      </w:r>
      <w:r>
        <w:rPr>
          <w:rFonts w:hint="eastAsia" w:asciiTheme="minorEastAsia" w:hAnsiTheme="minorEastAsia" w:eastAsiaTheme="minorEastAsia" w:cstheme="minorEastAsia"/>
          <w:sz w:val="32"/>
          <w:szCs w:val="32"/>
          <w:lang w:val="en-US" w:eastAsia="zh-CN"/>
        </w:rPr>
        <w:t>32.5</w:t>
      </w:r>
      <w:r>
        <w:rPr>
          <w:rFonts w:hint="eastAsia" w:asciiTheme="minorEastAsia" w:hAnsiTheme="minorEastAsia" w:eastAsiaTheme="minorEastAsia" w:cstheme="minorEastAsia"/>
          <w:sz w:val="32"/>
          <w:szCs w:val="32"/>
        </w:rPr>
        <w:t xml:space="preserve"> %；事业收入 </w:t>
      </w:r>
      <w:r>
        <w:rPr>
          <w:rFonts w:hint="eastAsia" w:asciiTheme="minorEastAsia" w:hAnsiTheme="minorEastAsia" w:eastAsiaTheme="minorEastAsia" w:cstheme="minorEastAsia"/>
          <w:sz w:val="32"/>
          <w:szCs w:val="32"/>
          <w:lang w:val="en-US" w:eastAsia="zh-CN"/>
        </w:rPr>
        <w:t>16502</w:t>
      </w:r>
      <w:r>
        <w:rPr>
          <w:rFonts w:hint="eastAsia" w:asciiTheme="minorEastAsia" w:hAnsiTheme="minorEastAsia" w:eastAsiaTheme="minorEastAsia" w:cstheme="minorEastAsia"/>
          <w:sz w:val="32"/>
          <w:szCs w:val="32"/>
        </w:rPr>
        <w:t xml:space="preserve"> 万元，占</w:t>
      </w:r>
      <w:r>
        <w:rPr>
          <w:rFonts w:hint="eastAsia" w:asciiTheme="minorEastAsia" w:hAnsiTheme="minorEastAsia" w:eastAsiaTheme="minorEastAsia" w:cstheme="minorEastAsia"/>
          <w:sz w:val="32"/>
          <w:szCs w:val="32"/>
          <w:lang w:val="en-US" w:eastAsia="zh-CN"/>
        </w:rPr>
        <w:t>67.5</w:t>
      </w:r>
      <w:r>
        <w:rPr>
          <w:rFonts w:hint="eastAsia" w:asciiTheme="minorEastAsia" w:hAnsiTheme="minorEastAsia" w:eastAsiaTheme="minorEastAsia" w:cstheme="minorEastAsia"/>
          <w:sz w:val="32"/>
          <w:szCs w:val="32"/>
        </w:rPr>
        <w:t xml:space="preserve"> %</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 xml:space="preserve">  </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二、支出决算情况说明</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本部门2017年度支出总计 </w:t>
      </w:r>
      <w:r>
        <w:rPr>
          <w:rFonts w:hint="eastAsia" w:asciiTheme="minorEastAsia" w:hAnsiTheme="minorEastAsia" w:eastAsiaTheme="minorEastAsia" w:cstheme="minorEastAsia"/>
          <w:sz w:val="32"/>
          <w:szCs w:val="32"/>
          <w:lang w:val="en-US" w:eastAsia="zh-CN"/>
        </w:rPr>
        <w:t>30300</w:t>
      </w:r>
      <w:r>
        <w:rPr>
          <w:rFonts w:hint="eastAsia" w:asciiTheme="minorEastAsia" w:hAnsiTheme="minorEastAsia" w:eastAsiaTheme="minorEastAsia" w:cstheme="minorEastAsia"/>
          <w:sz w:val="32"/>
          <w:szCs w:val="32"/>
        </w:rPr>
        <w:t xml:space="preserve"> 万元，其中本年支出合计 </w:t>
      </w:r>
      <w:r>
        <w:rPr>
          <w:rFonts w:hint="eastAsia" w:asciiTheme="minorEastAsia" w:hAnsiTheme="minorEastAsia" w:eastAsiaTheme="minorEastAsia" w:cstheme="minorEastAsia"/>
          <w:sz w:val="32"/>
          <w:szCs w:val="32"/>
          <w:lang w:val="en-US" w:eastAsia="zh-CN"/>
        </w:rPr>
        <w:t>25549</w:t>
      </w:r>
      <w:r>
        <w:rPr>
          <w:rFonts w:hint="eastAsia" w:asciiTheme="minorEastAsia" w:hAnsiTheme="minorEastAsia" w:eastAsiaTheme="minorEastAsia" w:cstheme="minorEastAsia"/>
          <w:sz w:val="32"/>
          <w:szCs w:val="32"/>
        </w:rPr>
        <w:t xml:space="preserve"> 万元，较2016年增加 </w:t>
      </w:r>
      <w:r>
        <w:rPr>
          <w:rFonts w:hint="eastAsia" w:asciiTheme="minorEastAsia" w:hAnsiTheme="minorEastAsia" w:eastAsiaTheme="minorEastAsia" w:cstheme="minorEastAsia"/>
          <w:sz w:val="32"/>
          <w:szCs w:val="32"/>
          <w:lang w:val="en-US" w:eastAsia="zh-CN"/>
        </w:rPr>
        <w:t>3800</w:t>
      </w:r>
      <w:r>
        <w:rPr>
          <w:rFonts w:hint="eastAsia" w:asciiTheme="minorEastAsia" w:hAnsiTheme="minorEastAsia" w:eastAsiaTheme="minorEastAsia" w:cstheme="minorEastAsia"/>
          <w:sz w:val="32"/>
          <w:szCs w:val="32"/>
        </w:rPr>
        <w:t xml:space="preserve">万元，增长 </w:t>
      </w:r>
      <w:r>
        <w:rPr>
          <w:rFonts w:hint="eastAsia" w:asciiTheme="minorEastAsia" w:hAnsiTheme="minorEastAsia" w:eastAsiaTheme="minorEastAsia" w:cstheme="minorEastAsia"/>
          <w:sz w:val="32"/>
          <w:szCs w:val="32"/>
          <w:lang w:val="en-US" w:eastAsia="zh-CN"/>
        </w:rPr>
        <w:t>14.9</w:t>
      </w:r>
      <w:r>
        <w:rPr>
          <w:rFonts w:hint="eastAsia" w:asciiTheme="minorEastAsia" w:hAnsiTheme="minorEastAsia" w:eastAsiaTheme="minorEastAsia" w:cstheme="minorEastAsia"/>
          <w:sz w:val="32"/>
          <w:szCs w:val="32"/>
        </w:rPr>
        <w:t xml:space="preserve"> %，主要原因是：</w:t>
      </w:r>
      <w:r>
        <w:rPr>
          <w:rFonts w:hint="eastAsia" w:asciiTheme="minorEastAsia" w:hAnsiTheme="minorEastAsia" w:eastAsiaTheme="minorEastAsia" w:cstheme="minorEastAsia"/>
          <w:sz w:val="32"/>
          <w:szCs w:val="32"/>
          <w:lang w:eastAsia="zh-CN"/>
        </w:rPr>
        <w:t>人员逐年增加，业务支</w:t>
      </w:r>
      <w:r>
        <w:rPr>
          <w:rFonts w:hint="eastAsia" w:asciiTheme="minorEastAsia" w:hAnsiTheme="minorEastAsia" w:eastAsiaTheme="minorEastAsia" w:cstheme="minorEastAsia"/>
          <w:sz w:val="32"/>
          <w:szCs w:val="32"/>
        </w:rPr>
        <w:t>出</w:t>
      </w:r>
      <w:r>
        <w:rPr>
          <w:rFonts w:hint="eastAsia" w:asciiTheme="minorEastAsia" w:hAnsiTheme="minorEastAsia" w:eastAsiaTheme="minorEastAsia" w:cstheme="minorEastAsia"/>
          <w:sz w:val="32"/>
          <w:szCs w:val="32"/>
          <w:lang w:eastAsia="zh-CN"/>
        </w:rPr>
        <w:t>费用上升</w:t>
      </w:r>
      <w:r>
        <w:rPr>
          <w:rFonts w:hint="eastAsia" w:asciiTheme="minorEastAsia" w:hAnsiTheme="minorEastAsia" w:eastAsiaTheme="minorEastAsia" w:cstheme="minorEastAsia"/>
          <w:sz w:val="32"/>
          <w:szCs w:val="32"/>
        </w:rPr>
        <w:t>；年末结转和结余</w:t>
      </w:r>
      <w:r>
        <w:rPr>
          <w:rFonts w:hint="eastAsia" w:asciiTheme="minorEastAsia" w:hAnsiTheme="minorEastAsia" w:eastAsiaTheme="minorEastAsia" w:cstheme="minorEastAsia"/>
          <w:sz w:val="32"/>
          <w:szCs w:val="32"/>
          <w:lang w:val="en-US" w:eastAsia="zh-CN"/>
        </w:rPr>
        <w:t>4354</w:t>
      </w:r>
      <w:r>
        <w:rPr>
          <w:rFonts w:hint="eastAsia" w:asciiTheme="minorEastAsia" w:hAnsiTheme="minorEastAsia" w:eastAsiaTheme="minorEastAsia" w:cstheme="minorEastAsia"/>
          <w:sz w:val="32"/>
          <w:szCs w:val="32"/>
        </w:rPr>
        <w:t>万元，较2016年减少</w:t>
      </w:r>
      <w:r>
        <w:rPr>
          <w:rFonts w:hint="eastAsia" w:asciiTheme="minorEastAsia" w:hAnsiTheme="minorEastAsia" w:eastAsiaTheme="minorEastAsia" w:cstheme="minorEastAsia"/>
          <w:sz w:val="32"/>
          <w:szCs w:val="32"/>
          <w:lang w:val="en-US" w:eastAsia="zh-CN"/>
        </w:rPr>
        <w:t>2228</w:t>
      </w:r>
      <w:r>
        <w:rPr>
          <w:rFonts w:hint="eastAsia" w:asciiTheme="minorEastAsia" w:hAnsiTheme="minorEastAsia" w:eastAsiaTheme="minorEastAsia" w:cstheme="minorEastAsia"/>
          <w:sz w:val="32"/>
          <w:szCs w:val="32"/>
        </w:rPr>
        <w:t xml:space="preserve"> 万元，下降</w:t>
      </w:r>
      <w:r>
        <w:rPr>
          <w:rFonts w:hint="eastAsia" w:asciiTheme="minorEastAsia" w:hAnsiTheme="minorEastAsia" w:eastAsiaTheme="minorEastAsia" w:cstheme="minorEastAsia"/>
          <w:sz w:val="32"/>
          <w:szCs w:val="32"/>
          <w:lang w:val="en-US" w:eastAsia="zh-CN"/>
        </w:rPr>
        <w:t>51.2</w:t>
      </w:r>
      <w:r>
        <w:rPr>
          <w:rFonts w:hint="eastAsia" w:asciiTheme="minorEastAsia" w:hAnsiTheme="minorEastAsia" w:eastAsiaTheme="minorEastAsia" w:cstheme="minorEastAsia"/>
          <w:sz w:val="32"/>
          <w:szCs w:val="32"/>
        </w:rPr>
        <w:t xml:space="preserve"> %，主要原因是：</w:t>
      </w:r>
      <w:r>
        <w:rPr>
          <w:rFonts w:hint="eastAsia" w:asciiTheme="minorEastAsia" w:hAnsiTheme="minorEastAsia" w:eastAsiaTheme="minorEastAsia" w:cstheme="minorEastAsia"/>
          <w:sz w:val="32"/>
          <w:szCs w:val="32"/>
          <w:lang w:eastAsia="zh-CN"/>
        </w:rPr>
        <w:t>人员逐年增加，业务支</w:t>
      </w:r>
      <w:r>
        <w:rPr>
          <w:rFonts w:hint="eastAsia" w:asciiTheme="minorEastAsia" w:hAnsiTheme="minorEastAsia" w:eastAsiaTheme="minorEastAsia" w:cstheme="minorEastAsia"/>
          <w:sz w:val="32"/>
          <w:szCs w:val="32"/>
        </w:rPr>
        <w:t>出</w:t>
      </w:r>
      <w:r>
        <w:rPr>
          <w:rFonts w:hint="eastAsia" w:asciiTheme="minorEastAsia" w:hAnsiTheme="minorEastAsia" w:eastAsiaTheme="minorEastAsia" w:cstheme="minorEastAsia"/>
          <w:sz w:val="32"/>
          <w:szCs w:val="32"/>
          <w:lang w:eastAsia="zh-CN"/>
        </w:rPr>
        <w:t>费用上升</w:t>
      </w:r>
      <w:r>
        <w:rPr>
          <w:rFonts w:hint="eastAsia" w:asciiTheme="minorEastAsia" w:hAnsiTheme="minorEastAsia" w:eastAsiaTheme="minorEastAsia" w:cstheme="minorEastAsia"/>
          <w:sz w:val="32"/>
          <w:szCs w:val="32"/>
        </w:rPr>
        <w:t>。</w:t>
      </w:r>
    </w:p>
    <w:p>
      <w:pPr>
        <w:ind w:firstLine="630"/>
        <w:jc w:val="left"/>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本年支出的具体构成为：基本支出</w:t>
      </w:r>
      <w:r>
        <w:rPr>
          <w:rFonts w:hint="eastAsia" w:asciiTheme="minorEastAsia" w:hAnsiTheme="minorEastAsia" w:eastAsiaTheme="minorEastAsia" w:cstheme="minorEastAsia"/>
          <w:sz w:val="32"/>
          <w:szCs w:val="32"/>
          <w:lang w:val="en-US" w:eastAsia="zh-CN"/>
        </w:rPr>
        <w:t>24680</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96.6</w:t>
      </w:r>
      <w:r>
        <w:rPr>
          <w:rFonts w:hint="eastAsia" w:asciiTheme="minorEastAsia" w:hAnsiTheme="minorEastAsia" w:eastAsiaTheme="minorEastAsia" w:cstheme="minorEastAsia"/>
          <w:sz w:val="32"/>
          <w:szCs w:val="32"/>
        </w:rPr>
        <w:t xml:space="preserve"> %；项目支出</w:t>
      </w:r>
      <w:r>
        <w:rPr>
          <w:rFonts w:hint="eastAsia" w:asciiTheme="minorEastAsia" w:hAnsiTheme="minorEastAsia" w:eastAsiaTheme="minorEastAsia" w:cstheme="minorEastAsia"/>
          <w:sz w:val="32"/>
          <w:szCs w:val="32"/>
          <w:lang w:val="en-US" w:eastAsia="zh-CN"/>
        </w:rPr>
        <w:t>869</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3.4</w:t>
      </w:r>
      <w:r>
        <w:rPr>
          <w:rFonts w:hint="eastAsia" w:asciiTheme="minorEastAsia" w:hAnsiTheme="minorEastAsia" w:eastAsiaTheme="minorEastAsia" w:cstheme="minorEastAsia"/>
          <w:sz w:val="32"/>
          <w:szCs w:val="32"/>
        </w:rPr>
        <w:t xml:space="preserve"> %</w:t>
      </w:r>
      <w:r>
        <w:rPr>
          <w:rFonts w:hint="eastAsia" w:asciiTheme="minorEastAsia" w:hAnsiTheme="minorEastAsia" w:eastAsiaTheme="minorEastAsia" w:cstheme="minorEastAsia"/>
          <w:sz w:val="32"/>
          <w:szCs w:val="32"/>
          <w:lang w:eastAsia="zh-CN"/>
        </w:rPr>
        <w:t>。</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三、财政拨款支出决算情况说明</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本部门2017年度财政拨款本年支出年初预算数为  </w:t>
      </w:r>
      <w:r>
        <w:rPr>
          <w:rFonts w:hint="eastAsia" w:asciiTheme="minorEastAsia" w:hAnsiTheme="minorEastAsia" w:eastAsiaTheme="minorEastAsia" w:cstheme="minorEastAsia"/>
          <w:sz w:val="32"/>
          <w:szCs w:val="32"/>
          <w:lang w:val="en-US" w:eastAsia="zh-CN"/>
        </w:rPr>
        <w:t>9161</w:t>
      </w:r>
      <w:r>
        <w:rPr>
          <w:rFonts w:hint="eastAsia" w:asciiTheme="minorEastAsia" w:hAnsiTheme="minorEastAsia" w:eastAsiaTheme="minorEastAsia" w:cstheme="minorEastAsia"/>
          <w:sz w:val="32"/>
          <w:szCs w:val="32"/>
        </w:rPr>
        <w:t xml:space="preserve"> 万元，决算数为 </w:t>
      </w:r>
      <w:r>
        <w:rPr>
          <w:rFonts w:hint="eastAsia" w:asciiTheme="minorEastAsia" w:hAnsiTheme="minorEastAsia" w:eastAsiaTheme="minorEastAsia" w:cstheme="minorEastAsia"/>
          <w:sz w:val="32"/>
          <w:szCs w:val="32"/>
          <w:lang w:val="en-US" w:eastAsia="zh-CN"/>
        </w:rPr>
        <w:t>9425</w:t>
      </w:r>
      <w:r>
        <w:rPr>
          <w:rFonts w:hint="eastAsia" w:asciiTheme="minorEastAsia" w:hAnsiTheme="minorEastAsia" w:eastAsiaTheme="minorEastAsia" w:cstheme="minorEastAsia"/>
          <w:sz w:val="32"/>
          <w:szCs w:val="32"/>
        </w:rPr>
        <w:t xml:space="preserve"> 万元，完成年初预算的 </w:t>
      </w:r>
      <w:r>
        <w:rPr>
          <w:rFonts w:hint="eastAsia" w:asciiTheme="minorEastAsia" w:hAnsiTheme="minorEastAsia" w:eastAsiaTheme="minorEastAsia" w:cstheme="minorEastAsia"/>
          <w:sz w:val="32"/>
          <w:szCs w:val="32"/>
          <w:lang w:val="en-US" w:eastAsia="zh-CN"/>
        </w:rPr>
        <w:t>102.9</w:t>
      </w:r>
      <w:r>
        <w:rPr>
          <w:rFonts w:hint="eastAsia" w:asciiTheme="minorEastAsia" w:hAnsiTheme="minorEastAsia" w:eastAsiaTheme="minorEastAsia" w:cstheme="minorEastAsia"/>
          <w:sz w:val="32"/>
          <w:szCs w:val="32"/>
        </w:rPr>
        <w:t xml:space="preserve"> %。其中：</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（一）一般公共服务支出年初预算数为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万元，决算数为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万元，完成年初预算的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（二）公共安全支出年初预算数为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万元，决算数为</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万元，完成年初预算的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w:t>
      </w:r>
      <w:r>
        <w:rPr>
          <w:rFonts w:hint="eastAsia" w:asciiTheme="minorEastAsia" w:hAnsiTheme="minorEastAsia" w:eastAsiaTheme="minorEastAsia" w:cstheme="minorEastAsia"/>
          <w:sz w:val="32"/>
          <w:szCs w:val="32"/>
          <w:lang w:val="en-US" w:eastAsia="zh-CN"/>
        </w:rPr>
        <w:t>。</w:t>
      </w:r>
    </w:p>
    <w:p>
      <w:pPr>
        <w:ind w:firstLine="630"/>
        <w:jc w:val="left"/>
        <w:rPr>
          <w:rFonts w:hint="eastAsia" w:asciiTheme="minorEastAsia" w:hAnsiTheme="minorEastAsia" w:eastAsiaTheme="minorEastAsia" w:cstheme="minorEastAsia"/>
          <w:sz w:val="32"/>
          <w:szCs w:val="32"/>
        </w:rPr>
      </w:pPr>
    </w:p>
    <w:p>
      <w:pPr>
        <w:ind w:firstLine="585"/>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四、一般公共预算财政拨款基本支出决算情况说明</w:t>
      </w:r>
    </w:p>
    <w:p>
      <w:pPr>
        <w:ind w:firstLine="585"/>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本部门2017年度一般公共预算财政拨款基本支出 </w:t>
      </w:r>
      <w:r>
        <w:rPr>
          <w:rFonts w:hint="eastAsia" w:asciiTheme="minorEastAsia" w:hAnsiTheme="minorEastAsia" w:eastAsiaTheme="minorEastAsia" w:cstheme="minorEastAsia"/>
          <w:sz w:val="32"/>
          <w:szCs w:val="32"/>
          <w:lang w:val="en-US" w:eastAsia="zh-CN"/>
        </w:rPr>
        <w:t>8177</w:t>
      </w:r>
      <w:r>
        <w:rPr>
          <w:rFonts w:hint="eastAsia" w:asciiTheme="minorEastAsia" w:hAnsiTheme="minorEastAsia" w:eastAsiaTheme="minorEastAsia" w:cstheme="minorEastAsia"/>
          <w:sz w:val="32"/>
          <w:szCs w:val="32"/>
        </w:rPr>
        <w:t xml:space="preserve"> 万元，其中：</w:t>
      </w:r>
    </w:p>
    <w:p>
      <w:pPr>
        <w:ind w:firstLine="585"/>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（一）工资福利支出  </w:t>
      </w:r>
      <w:r>
        <w:rPr>
          <w:rFonts w:hint="eastAsia" w:asciiTheme="minorEastAsia" w:hAnsiTheme="minorEastAsia" w:eastAsiaTheme="minorEastAsia" w:cstheme="minorEastAsia"/>
          <w:sz w:val="32"/>
          <w:szCs w:val="32"/>
          <w:lang w:val="en-US" w:eastAsia="zh-CN"/>
        </w:rPr>
        <w:t>2598</w:t>
      </w:r>
      <w:r>
        <w:rPr>
          <w:rFonts w:hint="eastAsia" w:asciiTheme="minorEastAsia" w:hAnsiTheme="minorEastAsia" w:eastAsiaTheme="minorEastAsia" w:cstheme="minorEastAsia"/>
          <w:sz w:val="32"/>
          <w:szCs w:val="32"/>
        </w:rPr>
        <w:t xml:space="preserve"> 万元，较2016年增加 </w:t>
      </w:r>
      <w:r>
        <w:rPr>
          <w:rFonts w:hint="eastAsia" w:asciiTheme="minorEastAsia" w:hAnsiTheme="minorEastAsia" w:eastAsiaTheme="minorEastAsia" w:cstheme="minorEastAsia"/>
          <w:sz w:val="32"/>
          <w:szCs w:val="32"/>
          <w:lang w:val="en-US" w:eastAsia="zh-CN"/>
        </w:rPr>
        <w:t>449</w:t>
      </w:r>
      <w:r>
        <w:rPr>
          <w:rFonts w:hint="eastAsia" w:asciiTheme="minorEastAsia" w:hAnsiTheme="minorEastAsia" w:eastAsiaTheme="minorEastAsia" w:cstheme="minorEastAsia"/>
          <w:sz w:val="32"/>
          <w:szCs w:val="32"/>
        </w:rPr>
        <w:t xml:space="preserve"> 万元，增长</w:t>
      </w:r>
      <w:r>
        <w:rPr>
          <w:rFonts w:hint="eastAsia" w:asciiTheme="minorEastAsia" w:hAnsiTheme="minorEastAsia" w:eastAsiaTheme="minorEastAsia" w:cstheme="minorEastAsia"/>
          <w:sz w:val="32"/>
          <w:szCs w:val="32"/>
          <w:lang w:val="en-US" w:eastAsia="zh-CN"/>
        </w:rPr>
        <w:t>17.3</w:t>
      </w:r>
      <w:r>
        <w:rPr>
          <w:rFonts w:hint="eastAsia" w:asciiTheme="minorEastAsia" w:hAnsiTheme="minorEastAsia" w:eastAsiaTheme="minorEastAsia" w:cstheme="minorEastAsia"/>
          <w:sz w:val="32"/>
          <w:szCs w:val="32"/>
        </w:rPr>
        <w:t xml:space="preserve"> %，主要原因是：</w:t>
      </w:r>
      <w:r>
        <w:rPr>
          <w:rFonts w:hint="eastAsia" w:asciiTheme="minorEastAsia" w:hAnsiTheme="minorEastAsia" w:eastAsiaTheme="minorEastAsia" w:cstheme="minorEastAsia"/>
          <w:sz w:val="32"/>
          <w:szCs w:val="32"/>
          <w:lang w:eastAsia="zh-CN"/>
        </w:rPr>
        <w:t>人员增加、工资增长</w:t>
      </w:r>
      <w:r>
        <w:rPr>
          <w:rFonts w:hint="eastAsia" w:asciiTheme="minorEastAsia" w:hAnsiTheme="minorEastAsia" w:eastAsiaTheme="minorEastAsia" w:cstheme="minorEastAsia"/>
          <w:sz w:val="32"/>
          <w:szCs w:val="32"/>
        </w:rPr>
        <w:t>。</w:t>
      </w:r>
    </w:p>
    <w:p>
      <w:pPr>
        <w:ind w:firstLine="585"/>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（二）商品和服务支出  </w:t>
      </w:r>
      <w:r>
        <w:rPr>
          <w:rFonts w:hint="eastAsia" w:asciiTheme="minorEastAsia" w:hAnsiTheme="minorEastAsia" w:eastAsiaTheme="minorEastAsia" w:cstheme="minorEastAsia"/>
          <w:sz w:val="32"/>
          <w:szCs w:val="32"/>
          <w:lang w:val="en-US" w:eastAsia="zh-CN"/>
        </w:rPr>
        <w:t>4886</w:t>
      </w:r>
      <w:r>
        <w:rPr>
          <w:rFonts w:hint="eastAsia" w:asciiTheme="minorEastAsia" w:hAnsiTheme="minorEastAsia" w:eastAsiaTheme="minorEastAsia" w:cstheme="minorEastAsia"/>
          <w:sz w:val="32"/>
          <w:szCs w:val="32"/>
        </w:rPr>
        <w:t xml:space="preserve"> 万元，较2016年增加 </w:t>
      </w:r>
      <w:r>
        <w:rPr>
          <w:rFonts w:hint="eastAsia" w:asciiTheme="minorEastAsia" w:hAnsiTheme="minorEastAsia" w:eastAsiaTheme="minorEastAsia" w:cstheme="minorEastAsia"/>
          <w:sz w:val="32"/>
          <w:szCs w:val="32"/>
          <w:lang w:val="en-US" w:eastAsia="zh-CN"/>
        </w:rPr>
        <w:t>1444</w:t>
      </w:r>
      <w:r>
        <w:rPr>
          <w:rFonts w:hint="eastAsia" w:asciiTheme="minorEastAsia" w:hAnsiTheme="minorEastAsia" w:eastAsiaTheme="minorEastAsia" w:cstheme="minorEastAsia"/>
          <w:sz w:val="32"/>
          <w:szCs w:val="32"/>
        </w:rPr>
        <w:t xml:space="preserve"> 万元，增长</w:t>
      </w:r>
      <w:r>
        <w:rPr>
          <w:rFonts w:hint="eastAsia" w:asciiTheme="minorEastAsia" w:hAnsiTheme="minorEastAsia" w:eastAsiaTheme="minorEastAsia" w:cstheme="minorEastAsia"/>
          <w:sz w:val="32"/>
          <w:szCs w:val="32"/>
          <w:lang w:val="en-US" w:eastAsia="zh-CN"/>
        </w:rPr>
        <w:t>29.6</w:t>
      </w:r>
      <w:r>
        <w:rPr>
          <w:rFonts w:hint="eastAsia" w:asciiTheme="minorEastAsia" w:hAnsiTheme="minorEastAsia" w:eastAsiaTheme="minorEastAsia" w:cstheme="minorEastAsia"/>
          <w:sz w:val="32"/>
          <w:szCs w:val="32"/>
        </w:rPr>
        <w:t xml:space="preserve">  %，主要原因是：</w:t>
      </w:r>
      <w:r>
        <w:rPr>
          <w:rFonts w:hint="eastAsia" w:asciiTheme="minorEastAsia" w:hAnsiTheme="minorEastAsia" w:eastAsiaTheme="minorEastAsia" w:cstheme="minorEastAsia"/>
          <w:sz w:val="32"/>
          <w:szCs w:val="32"/>
          <w:lang w:eastAsia="zh-CN"/>
        </w:rPr>
        <w:t>人员增加、工资增长</w:t>
      </w:r>
      <w:r>
        <w:rPr>
          <w:rFonts w:hint="eastAsia" w:asciiTheme="minorEastAsia" w:hAnsiTheme="minorEastAsia" w:eastAsiaTheme="minorEastAsia" w:cstheme="minorEastAsia"/>
          <w:sz w:val="32"/>
          <w:szCs w:val="32"/>
        </w:rPr>
        <w:t>。</w:t>
      </w:r>
    </w:p>
    <w:p>
      <w:pPr>
        <w:ind w:firstLine="585"/>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（三）对个人和家庭补助支出  </w:t>
      </w:r>
      <w:r>
        <w:rPr>
          <w:rFonts w:hint="eastAsia" w:asciiTheme="minorEastAsia" w:hAnsiTheme="minorEastAsia" w:eastAsiaTheme="minorEastAsia" w:cstheme="minorEastAsia"/>
          <w:sz w:val="32"/>
          <w:szCs w:val="32"/>
          <w:lang w:val="en-US" w:eastAsia="zh-CN"/>
        </w:rPr>
        <w:t>679</w:t>
      </w:r>
      <w:r>
        <w:rPr>
          <w:rFonts w:hint="eastAsia" w:asciiTheme="minorEastAsia" w:hAnsiTheme="minorEastAsia" w:eastAsiaTheme="minorEastAsia" w:cstheme="minorEastAsia"/>
          <w:sz w:val="32"/>
          <w:szCs w:val="32"/>
        </w:rPr>
        <w:t xml:space="preserve"> 万元，较2016年减少 </w:t>
      </w:r>
      <w:r>
        <w:rPr>
          <w:rFonts w:hint="eastAsia" w:asciiTheme="minorEastAsia" w:hAnsiTheme="minorEastAsia" w:eastAsiaTheme="minorEastAsia" w:cstheme="minorEastAsia"/>
          <w:sz w:val="32"/>
          <w:szCs w:val="32"/>
          <w:lang w:val="en-US" w:eastAsia="zh-CN"/>
        </w:rPr>
        <w:t>604</w:t>
      </w:r>
      <w:r>
        <w:rPr>
          <w:rFonts w:hint="eastAsia" w:asciiTheme="minorEastAsia" w:hAnsiTheme="minorEastAsia" w:eastAsiaTheme="minorEastAsia" w:cstheme="minorEastAsia"/>
          <w:sz w:val="32"/>
          <w:szCs w:val="32"/>
        </w:rPr>
        <w:t xml:space="preserve"> 万元，下降 </w:t>
      </w:r>
      <w:r>
        <w:rPr>
          <w:rFonts w:hint="eastAsia" w:asciiTheme="minorEastAsia" w:hAnsiTheme="minorEastAsia" w:eastAsiaTheme="minorEastAsia" w:cstheme="minorEastAsia"/>
          <w:sz w:val="32"/>
          <w:szCs w:val="32"/>
          <w:lang w:val="en-US" w:eastAsia="zh-CN"/>
        </w:rPr>
        <w:t>47.1</w:t>
      </w:r>
      <w:r>
        <w:rPr>
          <w:rFonts w:hint="eastAsia" w:asciiTheme="minorEastAsia" w:hAnsiTheme="minorEastAsia" w:eastAsiaTheme="minorEastAsia" w:cstheme="minorEastAsia"/>
          <w:sz w:val="32"/>
          <w:szCs w:val="32"/>
        </w:rPr>
        <w:t xml:space="preserve"> %，主要原因是：</w:t>
      </w:r>
      <w:r>
        <w:rPr>
          <w:rFonts w:hint="eastAsia" w:asciiTheme="minorEastAsia" w:hAnsiTheme="minorEastAsia" w:eastAsiaTheme="minorEastAsia" w:cstheme="minorEastAsia"/>
          <w:sz w:val="32"/>
          <w:szCs w:val="32"/>
          <w:lang w:eastAsia="zh-CN"/>
        </w:rPr>
        <w:t>职工逐年有退休、减少人员</w:t>
      </w:r>
      <w:r>
        <w:rPr>
          <w:rFonts w:hint="eastAsia" w:asciiTheme="minorEastAsia" w:hAnsiTheme="minorEastAsia" w:eastAsiaTheme="minorEastAsia" w:cstheme="minorEastAsia"/>
          <w:sz w:val="32"/>
          <w:szCs w:val="32"/>
        </w:rPr>
        <w:t>。</w:t>
      </w:r>
    </w:p>
    <w:p>
      <w:pPr>
        <w:ind w:firstLine="585"/>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（四）其他资本性支出  </w:t>
      </w:r>
      <w:r>
        <w:rPr>
          <w:rFonts w:hint="eastAsia" w:asciiTheme="minorEastAsia" w:hAnsiTheme="minorEastAsia" w:eastAsiaTheme="minorEastAsia" w:cstheme="minorEastAsia"/>
          <w:sz w:val="32"/>
          <w:szCs w:val="32"/>
          <w:lang w:val="en-US" w:eastAsia="zh-CN"/>
        </w:rPr>
        <w:t>15</w:t>
      </w:r>
      <w:r>
        <w:rPr>
          <w:rFonts w:hint="eastAsia" w:asciiTheme="minorEastAsia" w:hAnsiTheme="minorEastAsia" w:eastAsiaTheme="minorEastAsia" w:cstheme="minorEastAsia"/>
          <w:sz w:val="32"/>
          <w:szCs w:val="32"/>
        </w:rPr>
        <w:t xml:space="preserve"> 万元，较2016年增加 </w:t>
      </w:r>
      <w:r>
        <w:rPr>
          <w:rFonts w:hint="eastAsia" w:asciiTheme="minorEastAsia" w:hAnsiTheme="minorEastAsia" w:eastAsiaTheme="minorEastAsia" w:cstheme="minorEastAsia"/>
          <w:sz w:val="32"/>
          <w:szCs w:val="32"/>
          <w:lang w:val="en-US" w:eastAsia="zh-CN"/>
        </w:rPr>
        <w:t>15</w:t>
      </w:r>
      <w:r>
        <w:rPr>
          <w:rFonts w:hint="eastAsia" w:asciiTheme="minorEastAsia" w:hAnsiTheme="minorEastAsia" w:eastAsiaTheme="minorEastAsia" w:cstheme="minorEastAsia"/>
          <w:sz w:val="32"/>
          <w:szCs w:val="32"/>
        </w:rPr>
        <w:t xml:space="preserve"> 万元，增长 </w:t>
      </w:r>
      <w:r>
        <w:rPr>
          <w:rFonts w:hint="eastAsia" w:asciiTheme="minorEastAsia" w:hAnsiTheme="minorEastAsia" w:eastAsiaTheme="minorEastAsia" w:cstheme="minorEastAsia"/>
          <w:sz w:val="32"/>
          <w:szCs w:val="32"/>
          <w:lang w:val="en-US" w:eastAsia="zh-CN"/>
        </w:rPr>
        <w:t>100</w:t>
      </w:r>
      <w:r>
        <w:rPr>
          <w:rFonts w:hint="eastAsia" w:asciiTheme="minorEastAsia" w:hAnsiTheme="minorEastAsia" w:eastAsiaTheme="minorEastAsia" w:cstheme="minorEastAsia"/>
          <w:sz w:val="32"/>
          <w:szCs w:val="32"/>
        </w:rPr>
        <w:t xml:space="preserve"> %，主要原因是：</w:t>
      </w:r>
      <w:r>
        <w:rPr>
          <w:rFonts w:hint="eastAsia" w:asciiTheme="minorEastAsia" w:hAnsiTheme="minorEastAsia" w:eastAsiaTheme="minorEastAsia" w:cstheme="minorEastAsia"/>
          <w:sz w:val="32"/>
          <w:szCs w:val="32"/>
          <w:lang w:eastAsia="zh-CN"/>
        </w:rPr>
        <w:t>卫生建筑、办公用品增加</w:t>
      </w:r>
      <w:r>
        <w:rPr>
          <w:rFonts w:hint="eastAsia" w:asciiTheme="minorEastAsia" w:hAnsiTheme="minorEastAsia" w:eastAsiaTheme="minorEastAsia" w:cstheme="minorEastAsia"/>
          <w:sz w:val="32"/>
          <w:szCs w:val="32"/>
        </w:rPr>
        <w:t>。</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五、一般公共预算财政拨款“三公”经费支出决算情况说明</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本部门2017年度一般公共预算财政拨款“三公”经费支出年初预算数为 </w:t>
      </w:r>
      <w:r>
        <w:rPr>
          <w:rFonts w:hint="eastAsia" w:asciiTheme="minorEastAsia" w:hAnsiTheme="minorEastAsia" w:eastAsiaTheme="minorEastAsia" w:cstheme="minorEastAsia"/>
          <w:sz w:val="32"/>
          <w:szCs w:val="32"/>
          <w:lang w:val="en-US" w:eastAsia="zh-CN"/>
        </w:rPr>
        <w:t>200</w:t>
      </w:r>
      <w:r>
        <w:rPr>
          <w:rFonts w:hint="eastAsia" w:asciiTheme="minorEastAsia" w:hAnsiTheme="minorEastAsia" w:eastAsiaTheme="minorEastAsia" w:cstheme="minorEastAsia"/>
          <w:sz w:val="32"/>
          <w:szCs w:val="32"/>
        </w:rPr>
        <w:t xml:space="preserve"> 万元，决算数为 </w:t>
      </w:r>
      <w:r>
        <w:rPr>
          <w:rFonts w:hint="eastAsia" w:asciiTheme="minorEastAsia" w:hAnsiTheme="minorEastAsia" w:eastAsiaTheme="minorEastAsia" w:cstheme="minorEastAsia"/>
          <w:sz w:val="32"/>
          <w:szCs w:val="32"/>
          <w:lang w:val="en-US" w:eastAsia="zh-CN"/>
        </w:rPr>
        <w:t>111</w:t>
      </w:r>
      <w:r>
        <w:rPr>
          <w:rFonts w:hint="eastAsia" w:asciiTheme="minorEastAsia" w:hAnsiTheme="minorEastAsia" w:eastAsiaTheme="minorEastAsia" w:cstheme="minorEastAsia"/>
          <w:sz w:val="32"/>
          <w:szCs w:val="32"/>
        </w:rPr>
        <w:t xml:space="preserve"> 万元，完成预算的 </w:t>
      </w:r>
      <w:r>
        <w:rPr>
          <w:rFonts w:hint="eastAsia" w:asciiTheme="minorEastAsia" w:hAnsiTheme="minorEastAsia" w:eastAsiaTheme="minorEastAsia" w:cstheme="minorEastAsia"/>
          <w:sz w:val="32"/>
          <w:szCs w:val="32"/>
          <w:lang w:val="en-US" w:eastAsia="zh-CN"/>
        </w:rPr>
        <w:t>55.5</w:t>
      </w:r>
      <w:r>
        <w:rPr>
          <w:rFonts w:hint="eastAsia" w:asciiTheme="minorEastAsia" w:hAnsiTheme="minorEastAsia" w:eastAsiaTheme="minorEastAsia" w:cstheme="minorEastAsia"/>
          <w:sz w:val="32"/>
          <w:szCs w:val="32"/>
        </w:rPr>
        <w:t xml:space="preserve"> %，决算数较2016年增加</w:t>
      </w:r>
      <w:r>
        <w:rPr>
          <w:rFonts w:hint="eastAsia" w:asciiTheme="minorEastAsia" w:hAnsiTheme="minorEastAsia" w:eastAsiaTheme="minorEastAsia" w:cstheme="minorEastAsia"/>
          <w:sz w:val="32"/>
          <w:szCs w:val="32"/>
          <w:lang w:val="en-US" w:eastAsia="zh-CN"/>
        </w:rPr>
        <w:t>16</w:t>
      </w:r>
      <w:r>
        <w:rPr>
          <w:rFonts w:hint="eastAsia" w:asciiTheme="minorEastAsia" w:hAnsiTheme="minorEastAsia" w:eastAsiaTheme="minorEastAsia" w:cstheme="minorEastAsia"/>
          <w:sz w:val="32"/>
          <w:szCs w:val="32"/>
        </w:rPr>
        <w:t>万元，增长</w:t>
      </w:r>
      <w:r>
        <w:rPr>
          <w:rFonts w:hint="eastAsia" w:asciiTheme="minorEastAsia" w:hAnsiTheme="minorEastAsia" w:eastAsiaTheme="minorEastAsia" w:cstheme="minorEastAsia"/>
          <w:sz w:val="32"/>
          <w:szCs w:val="32"/>
          <w:lang w:val="en-US" w:eastAsia="zh-CN"/>
        </w:rPr>
        <w:t>14.4</w:t>
      </w:r>
      <w:r>
        <w:rPr>
          <w:rFonts w:hint="eastAsia" w:asciiTheme="minorEastAsia" w:hAnsiTheme="minorEastAsia" w:eastAsiaTheme="minorEastAsia" w:cstheme="minorEastAsia"/>
          <w:sz w:val="32"/>
          <w:szCs w:val="32"/>
        </w:rPr>
        <w:t xml:space="preserve"> %，其中：</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（一）因公出国（境）支出年初预算数为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万元，决算数为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万元，完成预算的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%，决算数较2016年增加（减少）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万元，增长（下降）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（二）公务接待费支出年初预算数为  </w:t>
      </w:r>
      <w:r>
        <w:rPr>
          <w:rFonts w:hint="eastAsia" w:asciiTheme="minorEastAsia" w:hAnsiTheme="minorEastAsia" w:eastAsiaTheme="minorEastAsia" w:cstheme="minorEastAsia"/>
          <w:sz w:val="32"/>
          <w:szCs w:val="32"/>
          <w:lang w:val="en-US" w:eastAsia="zh-CN"/>
        </w:rPr>
        <w:t>116</w:t>
      </w:r>
      <w:r>
        <w:rPr>
          <w:rFonts w:hint="eastAsia" w:asciiTheme="minorEastAsia" w:hAnsiTheme="minorEastAsia" w:eastAsiaTheme="minorEastAsia" w:cstheme="minorEastAsia"/>
          <w:sz w:val="32"/>
          <w:szCs w:val="32"/>
        </w:rPr>
        <w:t xml:space="preserve"> 万元，决算数为 </w:t>
      </w:r>
      <w:r>
        <w:rPr>
          <w:rFonts w:hint="eastAsia" w:asciiTheme="minorEastAsia" w:hAnsiTheme="minorEastAsia" w:eastAsiaTheme="minorEastAsia" w:cstheme="minorEastAsia"/>
          <w:sz w:val="32"/>
          <w:szCs w:val="32"/>
          <w:lang w:val="en-US" w:eastAsia="zh-CN"/>
        </w:rPr>
        <w:t>83.8</w:t>
      </w:r>
      <w:r>
        <w:rPr>
          <w:rFonts w:hint="eastAsia" w:asciiTheme="minorEastAsia" w:hAnsiTheme="minorEastAsia" w:eastAsiaTheme="minorEastAsia" w:cstheme="minorEastAsia"/>
          <w:sz w:val="32"/>
          <w:szCs w:val="32"/>
        </w:rPr>
        <w:t xml:space="preserve"> 万元，完成预算的</w:t>
      </w:r>
      <w:r>
        <w:rPr>
          <w:rFonts w:hint="eastAsia" w:asciiTheme="minorEastAsia" w:hAnsiTheme="minorEastAsia" w:eastAsiaTheme="minorEastAsia" w:cstheme="minorEastAsia"/>
          <w:sz w:val="32"/>
          <w:szCs w:val="32"/>
          <w:lang w:val="en-US" w:eastAsia="zh-CN"/>
        </w:rPr>
        <w:t>72.2</w:t>
      </w:r>
      <w:r>
        <w:rPr>
          <w:rFonts w:hint="eastAsia" w:asciiTheme="minorEastAsia" w:hAnsiTheme="minorEastAsia" w:eastAsiaTheme="minorEastAsia" w:cstheme="minorEastAsia"/>
          <w:sz w:val="32"/>
          <w:szCs w:val="32"/>
        </w:rPr>
        <w:t xml:space="preserve"> %，决算数较2016年增加 </w:t>
      </w:r>
      <w:r>
        <w:rPr>
          <w:rFonts w:hint="eastAsia" w:asciiTheme="minorEastAsia" w:hAnsiTheme="minorEastAsia" w:eastAsiaTheme="minorEastAsia" w:cstheme="minorEastAsia"/>
          <w:sz w:val="32"/>
          <w:szCs w:val="32"/>
          <w:lang w:val="en-US" w:eastAsia="zh-CN"/>
        </w:rPr>
        <w:t>25.8</w:t>
      </w:r>
      <w:r>
        <w:rPr>
          <w:rFonts w:hint="eastAsia" w:asciiTheme="minorEastAsia" w:hAnsiTheme="minorEastAsia" w:eastAsiaTheme="minorEastAsia" w:cstheme="minorEastAsia"/>
          <w:sz w:val="32"/>
          <w:szCs w:val="32"/>
        </w:rPr>
        <w:t xml:space="preserve"> 万元，增长 </w:t>
      </w:r>
      <w:r>
        <w:rPr>
          <w:rFonts w:hint="eastAsia" w:asciiTheme="minorEastAsia" w:hAnsiTheme="minorEastAsia" w:eastAsiaTheme="minorEastAsia" w:cstheme="minorEastAsia"/>
          <w:sz w:val="32"/>
          <w:szCs w:val="32"/>
          <w:lang w:val="en-US" w:eastAsia="zh-CN"/>
        </w:rPr>
        <w:t>30.8</w:t>
      </w:r>
      <w:r>
        <w:rPr>
          <w:rFonts w:hint="eastAsia" w:asciiTheme="minorEastAsia" w:hAnsiTheme="minorEastAsia" w:eastAsiaTheme="minorEastAsia" w:cstheme="minorEastAsia"/>
          <w:sz w:val="32"/>
          <w:szCs w:val="32"/>
        </w:rPr>
        <w:t xml:space="preserve"> %。主要原因是：</w:t>
      </w:r>
      <w:r>
        <w:rPr>
          <w:rFonts w:hint="eastAsia" w:asciiTheme="minorEastAsia" w:hAnsiTheme="minorEastAsia" w:eastAsiaTheme="minorEastAsia" w:cstheme="minorEastAsia"/>
          <w:sz w:val="32"/>
          <w:szCs w:val="32"/>
          <w:lang w:eastAsia="zh-CN"/>
        </w:rPr>
        <w:t>接待检查、督查、互相交流学习人次人员较多</w:t>
      </w:r>
      <w:r>
        <w:rPr>
          <w:rFonts w:hint="eastAsia" w:asciiTheme="minorEastAsia" w:hAnsiTheme="minorEastAsia" w:eastAsiaTheme="minorEastAsia" w:cstheme="minorEastAsia"/>
          <w:sz w:val="32"/>
          <w:szCs w:val="32"/>
        </w:rPr>
        <w:t>。</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（三）公务用车购置及运行维护费支出 </w:t>
      </w:r>
      <w:r>
        <w:rPr>
          <w:rFonts w:hint="eastAsia" w:asciiTheme="minorEastAsia" w:hAnsiTheme="minorEastAsia" w:eastAsiaTheme="minorEastAsia" w:cstheme="minorEastAsia"/>
          <w:sz w:val="32"/>
          <w:szCs w:val="32"/>
          <w:lang w:val="en-US" w:eastAsia="zh-CN"/>
        </w:rPr>
        <w:t>84</w:t>
      </w:r>
      <w:r>
        <w:rPr>
          <w:rFonts w:hint="eastAsia" w:asciiTheme="minorEastAsia" w:hAnsiTheme="minorEastAsia" w:eastAsiaTheme="minorEastAsia" w:cstheme="minorEastAsia"/>
          <w:sz w:val="32"/>
          <w:szCs w:val="32"/>
        </w:rPr>
        <w:t xml:space="preserve"> 万元，其中公务用车购置年初预算数为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万元，决算数为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万元，完成预算的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%，决算数较2016年增加（减少） </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万元，增长（下降）</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 xml:space="preserve">  %。公务用车运行维护费支出年初预算数为 </w:t>
      </w:r>
      <w:r>
        <w:rPr>
          <w:rFonts w:hint="eastAsia" w:asciiTheme="minorEastAsia" w:hAnsiTheme="minorEastAsia" w:eastAsiaTheme="minorEastAsia" w:cstheme="minorEastAsia"/>
          <w:sz w:val="32"/>
          <w:szCs w:val="32"/>
          <w:lang w:val="en-US" w:eastAsia="zh-CN"/>
        </w:rPr>
        <w:t>84</w:t>
      </w:r>
      <w:r>
        <w:rPr>
          <w:rFonts w:hint="eastAsia" w:asciiTheme="minorEastAsia" w:hAnsiTheme="minorEastAsia" w:eastAsiaTheme="minorEastAsia" w:cstheme="minorEastAsia"/>
          <w:sz w:val="32"/>
          <w:szCs w:val="32"/>
        </w:rPr>
        <w:t xml:space="preserve"> 万元，决算数为 </w:t>
      </w:r>
      <w:r>
        <w:rPr>
          <w:rFonts w:hint="eastAsia" w:asciiTheme="minorEastAsia" w:hAnsiTheme="minorEastAsia" w:eastAsiaTheme="minorEastAsia" w:cstheme="minorEastAsia"/>
          <w:sz w:val="32"/>
          <w:szCs w:val="32"/>
          <w:lang w:val="en-US" w:eastAsia="zh-CN"/>
        </w:rPr>
        <w:t>28</w:t>
      </w:r>
      <w:r>
        <w:rPr>
          <w:rFonts w:hint="eastAsia" w:asciiTheme="minorEastAsia" w:hAnsiTheme="minorEastAsia" w:eastAsiaTheme="minorEastAsia" w:cstheme="minorEastAsia"/>
          <w:sz w:val="32"/>
          <w:szCs w:val="32"/>
        </w:rPr>
        <w:t xml:space="preserve"> 万元，完成预算的</w:t>
      </w:r>
      <w:r>
        <w:rPr>
          <w:rFonts w:hint="eastAsia" w:asciiTheme="minorEastAsia" w:hAnsiTheme="minorEastAsia" w:eastAsiaTheme="minorEastAsia" w:cstheme="minorEastAsia"/>
          <w:sz w:val="32"/>
          <w:szCs w:val="32"/>
          <w:lang w:val="en-US" w:eastAsia="zh-CN"/>
        </w:rPr>
        <w:t>33.3</w:t>
      </w:r>
      <w:r>
        <w:rPr>
          <w:rFonts w:hint="eastAsia" w:asciiTheme="minorEastAsia" w:hAnsiTheme="minorEastAsia" w:eastAsiaTheme="minorEastAsia" w:cstheme="minorEastAsia"/>
          <w:sz w:val="32"/>
          <w:szCs w:val="32"/>
        </w:rPr>
        <w:t xml:space="preserve"> %，决算数较2016年减少</w:t>
      </w:r>
      <w:r>
        <w:rPr>
          <w:rFonts w:hint="eastAsia" w:asciiTheme="minorEastAsia" w:hAnsiTheme="minorEastAsia" w:eastAsiaTheme="minorEastAsia" w:cstheme="minorEastAsia"/>
          <w:sz w:val="32"/>
          <w:szCs w:val="32"/>
          <w:lang w:val="en-US" w:eastAsia="zh-CN"/>
        </w:rPr>
        <w:t>9</w:t>
      </w:r>
      <w:r>
        <w:rPr>
          <w:rFonts w:hint="eastAsia" w:asciiTheme="minorEastAsia" w:hAnsiTheme="minorEastAsia" w:eastAsiaTheme="minorEastAsia" w:cstheme="minorEastAsia"/>
          <w:sz w:val="32"/>
          <w:szCs w:val="32"/>
        </w:rPr>
        <w:t xml:space="preserve"> 万元，下降 </w:t>
      </w:r>
      <w:r>
        <w:rPr>
          <w:rFonts w:hint="eastAsia" w:asciiTheme="minorEastAsia" w:hAnsiTheme="minorEastAsia" w:eastAsiaTheme="minorEastAsia" w:cstheme="minorEastAsia"/>
          <w:sz w:val="32"/>
          <w:szCs w:val="32"/>
          <w:lang w:val="en-US" w:eastAsia="zh-CN"/>
        </w:rPr>
        <w:t>32.1</w:t>
      </w:r>
      <w:r>
        <w:rPr>
          <w:rFonts w:hint="eastAsia" w:asciiTheme="minorEastAsia" w:hAnsiTheme="minorEastAsia" w:eastAsiaTheme="minorEastAsia" w:cstheme="minorEastAsia"/>
          <w:sz w:val="32"/>
          <w:szCs w:val="32"/>
        </w:rPr>
        <w:t xml:space="preserve"> %。主要原因是：</w:t>
      </w:r>
      <w:r>
        <w:rPr>
          <w:rFonts w:hint="eastAsia" w:asciiTheme="minorEastAsia" w:hAnsiTheme="minorEastAsia" w:eastAsiaTheme="minorEastAsia" w:cstheme="minorEastAsia"/>
          <w:sz w:val="32"/>
          <w:szCs w:val="32"/>
          <w:lang w:eastAsia="zh-CN"/>
        </w:rPr>
        <w:t>公务用小车减少</w:t>
      </w:r>
      <w:r>
        <w:rPr>
          <w:rFonts w:hint="eastAsia" w:asciiTheme="minorEastAsia" w:hAnsiTheme="minorEastAsia" w:eastAsiaTheme="minorEastAsia" w:cstheme="minorEastAsia"/>
          <w:sz w:val="32"/>
          <w:szCs w:val="32"/>
        </w:rPr>
        <w:t>。</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六、机关运行经费支出情况说明</w:t>
      </w:r>
    </w:p>
    <w:p>
      <w:pPr>
        <w:ind w:firstLine="63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本部门2017年度机关运行经费支出 </w:t>
      </w:r>
      <w:r>
        <w:rPr>
          <w:rFonts w:hint="eastAsia" w:asciiTheme="minorEastAsia" w:hAnsiTheme="minorEastAsia" w:eastAsiaTheme="minorEastAsia" w:cstheme="minorEastAsia"/>
          <w:sz w:val="32"/>
          <w:szCs w:val="32"/>
          <w:lang w:val="en-US" w:eastAsia="zh-CN"/>
        </w:rPr>
        <w:t>2859</w:t>
      </w:r>
      <w:r>
        <w:rPr>
          <w:rFonts w:hint="eastAsia" w:asciiTheme="minorEastAsia" w:hAnsiTheme="minorEastAsia" w:eastAsiaTheme="minorEastAsia" w:cstheme="minorEastAsia"/>
          <w:sz w:val="32"/>
          <w:szCs w:val="32"/>
        </w:rPr>
        <w:t xml:space="preserve"> 万元（与部门决算中行政单位和参照公务员法管理事业单位一般公共预算财政拨款基本支出中公用经费保持一致），较2016年增加 </w:t>
      </w: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 xml:space="preserve"> 万元，增长</w:t>
      </w:r>
      <w:r>
        <w:rPr>
          <w:rFonts w:hint="eastAsia" w:asciiTheme="minorEastAsia" w:hAnsiTheme="minorEastAsia" w:eastAsiaTheme="minorEastAsia" w:cstheme="minorEastAsia"/>
          <w:sz w:val="32"/>
          <w:szCs w:val="32"/>
          <w:lang w:val="en-US" w:eastAsia="zh-CN"/>
        </w:rPr>
        <w:t>0.1</w:t>
      </w:r>
      <w:r>
        <w:rPr>
          <w:rFonts w:hint="eastAsia" w:asciiTheme="minorEastAsia" w:hAnsiTheme="minorEastAsia" w:eastAsiaTheme="minorEastAsia" w:cstheme="minorEastAsia"/>
          <w:sz w:val="32"/>
          <w:szCs w:val="32"/>
        </w:rPr>
        <w:t>%，主要原因是：</w:t>
      </w:r>
      <w:r>
        <w:rPr>
          <w:rFonts w:hint="eastAsia" w:asciiTheme="minorEastAsia" w:hAnsiTheme="minorEastAsia" w:eastAsiaTheme="minorEastAsia" w:cstheme="minorEastAsia"/>
          <w:sz w:val="32"/>
          <w:szCs w:val="32"/>
          <w:lang w:eastAsia="zh-CN"/>
        </w:rPr>
        <w:t>人员增加、勤俭节约、未超出年初预算，与去年持平。</w:t>
      </w:r>
      <w:r>
        <w:rPr>
          <w:rFonts w:hint="eastAsia" w:asciiTheme="minorEastAsia" w:hAnsiTheme="minorEastAsia" w:eastAsiaTheme="minorEastAsia" w:cstheme="minorEastAsia"/>
          <w:sz w:val="32"/>
          <w:szCs w:val="32"/>
        </w:rPr>
        <w:t xml:space="preserve"> </w:t>
      </w:r>
    </w:p>
    <w:p>
      <w:pPr>
        <w:widowControl/>
        <w:spacing w:line="600" w:lineRule="exact"/>
        <w:jc w:val="both"/>
        <w:rPr>
          <w:rFonts w:hint="eastAsia" w:asciiTheme="minorEastAsia" w:hAnsiTheme="minorEastAsia" w:eastAsiaTheme="minorEastAsia" w:cstheme="minorEastAsia"/>
          <w:b/>
          <w:sz w:val="32"/>
          <w:szCs w:val="32"/>
        </w:rPr>
      </w:pPr>
    </w:p>
    <w:p>
      <w:pPr>
        <w:widowControl/>
        <w:spacing w:line="600" w:lineRule="exact"/>
        <w:jc w:val="both"/>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b/>
          <w:sz w:val="32"/>
          <w:szCs w:val="32"/>
        </w:rPr>
        <w:t>第四部分  名词解释</w:t>
      </w:r>
    </w:p>
    <w:p>
      <w:pPr>
        <w:ind w:firstLine="630"/>
        <w:jc w:val="left"/>
        <w:rPr>
          <w:rFonts w:hint="eastAsia" w:asciiTheme="minorEastAsia" w:hAnsiTheme="minorEastAsia" w:eastAsiaTheme="minorEastAsia" w:cstheme="minorEastAsia"/>
          <w:sz w:val="32"/>
          <w:szCs w:val="32"/>
        </w:rPr>
      </w:pPr>
    </w:p>
    <w:p>
      <w:pPr>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卫计系统各单位的“三公经费”全年支</w:t>
      </w:r>
      <w:r>
        <w:rPr>
          <w:rFonts w:hint="eastAsia" w:asciiTheme="minorEastAsia" w:hAnsiTheme="minorEastAsia" w:eastAsiaTheme="minorEastAsia" w:cstheme="minorEastAsia"/>
          <w:kern w:val="0"/>
          <w:sz w:val="32"/>
          <w:szCs w:val="32"/>
        </w:rPr>
        <w:t>出</w:t>
      </w:r>
      <w:r>
        <w:rPr>
          <w:rFonts w:hint="eastAsia" w:asciiTheme="minorEastAsia" w:hAnsiTheme="minorEastAsia" w:eastAsiaTheme="minorEastAsia" w:cstheme="minorEastAsia"/>
          <w:kern w:val="0"/>
          <w:sz w:val="32"/>
          <w:szCs w:val="32"/>
          <w:lang w:eastAsia="zh-CN"/>
        </w:rPr>
        <w:t>未超过预算，与上级规定的未超</w:t>
      </w:r>
      <w:r>
        <w:rPr>
          <w:rFonts w:hint="eastAsia" w:asciiTheme="minorEastAsia" w:hAnsiTheme="minorEastAsia" w:eastAsiaTheme="minorEastAsia" w:cstheme="minorEastAsia"/>
          <w:kern w:val="0"/>
          <w:sz w:val="32"/>
          <w:szCs w:val="32"/>
        </w:rPr>
        <w:t>出</w:t>
      </w:r>
      <w:r>
        <w:rPr>
          <w:rFonts w:hint="eastAsia" w:asciiTheme="minorEastAsia" w:hAnsiTheme="minorEastAsia" w:eastAsiaTheme="minorEastAsia" w:cstheme="minorEastAsia"/>
          <w:kern w:val="0"/>
          <w:sz w:val="32"/>
          <w:szCs w:val="32"/>
          <w:lang w:eastAsia="zh-CN"/>
        </w:rPr>
        <w:t>支</w:t>
      </w:r>
      <w:r>
        <w:rPr>
          <w:rFonts w:hint="eastAsia" w:asciiTheme="minorEastAsia" w:hAnsiTheme="minorEastAsia" w:eastAsiaTheme="minorEastAsia" w:cstheme="minorEastAsia"/>
          <w:kern w:val="0"/>
          <w:sz w:val="32"/>
          <w:szCs w:val="32"/>
        </w:rPr>
        <w:t>出</w:t>
      </w:r>
      <w:r>
        <w:rPr>
          <w:rFonts w:hint="eastAsia" w:asciiTheme="minorEastAsia" w:hAnsiTheme="minorEastAsia" w:eastAsiaTheme="minorEastAsia" w:cstheme="minorEastAsia"/>
          <w:kern w:val="0"/>
          <w:sz w:val="32"/>
          <w:szCs w:val="32"/>
          <w:lang w:eastAsia="zh-CN"/>
        </w:rPr>
        <w:t>范围。</w:t>
      </w:r>
    </w:p>
    <w:p>
      <w:pPr>
        <w:ind w:firstLine="640" w:firstLineChars="200"/>
        <w:rPr>
          <w:rFonts w:hint="eastAsia" w:asciiTheme="minorEastAsia" w:hAnsiTheme="minorEastAsia" w:eastAsiaTheme="minorEastAsia" w:cstheme="minorEastAsia"/>
          <w:sz w:val="32"/>
          <w:szCs w:val="32"/>
          <w:lang w:eastAsia="zh-CN"/>
        </w:rPr>
      </w:pPr>
      <w:bookmarkStart w:id="0" w:name="_GoBack"/>
      <w:bookmarkEnd w:id="0"/>
      <w:r>
        <w:rPr>
          <w:rFonts w:hint="eastAsia" w:asciiTheme="minorEastAsia" w:hAnsiTheme="minorEastAsia" w:eastAsiaTheme="minorEastAsia" w:cstheme="minorEastAsia"/>
          <w:sz w:val="32"/>
          <w:szCs w:val="32"/>
          <w:lang w:eastAsia="zh-CN"/>
        </w:rPr>
        <w:t>卫计委机关运行支出与年初预算相符，与去年资金额度相符，</w:t>
      </w:r>
      <w:r>
        <w:rPr>
          <w:rFonts w:hint="eastAsia" w:asciiTheme="minorEastAsia" w:hAnsiTheme="minorEastAsia" w:eastAsiaTheme="minorEastAsia" w:cstheme="minorEastAsia"/>
          <w:kern w:val="0"/>
          <w:sz w:val="32"/>
          <w:szCs w:val="32"/>
          <w:lang w:eastAsia="zh-CN"/>
        </w:rPr>
        <w:t>与上级规定的未超</w:t>
      </w:r>
      <w:r>
        <w:rPr>
          <w:rFonts w:hint="eastAsia" w:asciiTheme="minorEastAsia" w:hAnsiTheme="minorEastAsia" w:eastAsiaTheme="minorEastAsia" w:cstheme="minorEastAsia"/>
          <w:kern w:val="0"/>
          <w:sz w:val="32"/>
          <w:szCs w:val="32"/>
        </w:rPr>
        <w:t>出</w:t>
      </w:r>
      <w:r>
        <w:rPr>
          <w:rFonts w:hint="eastAsia" w:asciiTheme="minorEastAsia" w:hAnsiTheme="minorEastAsia" w:eastAsiaTheme="minorEastAsia" w:cstheme="minorEastAsia"/>
          <w:kern w:val="0"/>
          <w:sz w:val="32"/>
          <w:szCs w:val="32"/>
          <w:lang w:eastAsia="zh-CN"/>
        </w:rPr>
        <w:t>支</w:t>
      </w:r>
      <w:r>
        <w:rPr>
          <w:rFonts w:hint="eastAsia" w:asciiTheme="minorEastAsia" w:hAnsiTheme="minorEastAsia" w:eastAsiaTheme="minorEastAsia" w:cstheme="minorEastAsia"/>
          <w:kern w:val="0"/>
          <w:sz w:val="32"/>
          <w:szCs w:val="32"/>
        </w:rPr>
        <w:t>出</w:t>
      </w:r>
      <w:r>
        <w:rPr>
          <w:rFonts w:hint="eastAsia" w:asciiTheme="minorEastAsia" w:hAnsiTheme="minorEastAsia" w:eastAsiaTheme="minorEastAsia" w:cstheme="minorEastAsia"/>
          <w:kern w:val="0"/>
          <w:sz w:val="32"/>
          <w:szCs w:val="32"/>
          <w:lang w:eastAsia="zh-CN"/>
        </w:rPr>
        <w:t>范围。</w:t>
      </w:r>
    </w:p>
    <w:p>
      <w:pPr>
        <w:rPr>
          <w:rFonts w:hint="eastAsia" w:asciiTheme="minorEastAsia" w:hAnsiTheme="minorEastAsia" w:eastAsiaTheme="minorEastAsia" w:cstheme="minorEastAsia"/>
          <w:sz w:val="32"/>
          <w:szCs w:val="32"/>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right;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C01A42"/>
    <w:multiLevelType w:val="multilevel"/>
    <w:tmpl w:val="6EC01A42"/>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21E3"/>
    <w:rsid w:val="00011756"/>
    <w:rsid w:val="000150B8"/>
    <w:rsid w:val="000210CD"/>
    <w:rsid w:val="000222F8"/>
    <w:rsid w:val="000246B1"/>
    <w:rsid w:val="0003407D"/>
    <w:rsid w:val="000346CB"/>
    <w:rsid w:val="0004508F"/>
    <w:rsid w:val="00055EF9"/>
    <w:rsid w:val="00064C9F"/>
    <w:rsid w:val="00074CD9"/>
    <w:rsid w:val="00076557"/>
    <w:rsid w:val="0008428A"/>
    <w:rsid w:val="00087085"/>
    <w:rsid w:val="000909BD"/>
    <w:rsid w:val="00095E03"/>
    <w:rsid w:val="000A475B"/>
    <w:rsid w:val="000A53D0"/>
    <w:rsid w:val="000A69B4"/>
    <w:rsid w:val="000B2395"/>
    <w:rsid w:val="000B577D"/>
    <w:rsid w:val="000C381E"/>
    <w:rsid w:val="000C3A2E"/>
    <w:rsid w:val="000C57AE"/>
    <w:rsid w:val="000C7550"/>
    <w:rsid w:val="000E50B2"/>
    <w:rsid w:val="000E7FD8"/>
    <w:rsid w:val="000F0718"/>
    <w:rsid w:val="000F273D"/>
    <w:rsid w:val="000F4530"/>
    <w:rsid w:val="001000F6"/>
    <w:rsid w:val="00100FFD"/>
    <w:rsid w:val="00107EEE"/>
    <w:rsid w:val="00112916"/>
    <w:rsid w:val="001139E6"/>
    <w:rsid w:val="00115149"/>
    <w:rsid w:val="00122A71"/>
    <w:rsid w:val="001377B5"/>
    <w:rsid w:val="0014391E"/>
    <w:rsid w:val="00143DDA"/>
    <w:rsid w:val="00151D45"/>
    <w:rsid w:val="00152736"/>
    <w:rsid w:val="001530A2"/>
    <w:rsid w:val="0015368E"/>
    <w:rsid w:val="00153C31"/>
    <w:rsid w:val="001604CA"/>
    <w:rsid w:val="0016408F"/>
    <w:rsid w:val="00170CB9"/>
    <w:rsid w:val="00171C85"/>
    <w:rsid w:val="001764C6"/>
    <w:rsid w:val="001800C4"/>
    <w:rsid w:val="00181BAD"/>
    <w:rsid w:val="00184175"/>
    <w:rsid w:val="00195AAB"/>
    <w:rsid w:val="001977AB"/>
    <w:rsid w:val="001A14EB"/>
    <w:rsid w:val="001A1B16"/>
    <w:rsid w:val="001B241D"/>
    <w:rsid w:val="001B3D9E"/>
    <w:rsid w:val="001B3EEE"/>
    <w:rsid w:val="001B6B91"/>
    <w:rsid w:val="001B7109"/>
    <w:rsid w:val="001C0B1C"/>
    <w:rsid w:val="001C240F"/>
    <w:rsid w:val="001D03C7"/>
    <w:rsid w:val="001D565A"/>
    <w:rsid w:val="001E3EF8"/>
    <w:rsid w:val="001E48CE"/>
    <w:rsid w:val="001F68E9"/>
    <w:rsid w:val="001F6E9B"/>
    <w:rsid w:val="00201070"/>
    <w:rsid w:val="00203C9E"/>
    <w:rsid w:val="00203EF1"/>
    <w:rsid w:val="00217151"/>
    <w:rsid w:val="00227532"/>
    <w:rsid w:val="002458FC"/>
    <w:rsid w:val="00246448"/>
    <w:rsid w:val="00255159"/>
    <w:rsid w:val="002558F6"/>
    <w:rsid w:val="002578D2"/>
    <w:rsid w:val="00262B64"/>
    <w:rsid w:val="002641D5"/>
    <w:rsid w:val="00270A0A"/>
    <w:rsid w:val="002752F8"/>
    <w:rsid w:val="00286F7B"/>
    <w:rsid w:val="0029357D"/>
    <w:rsid w:val="002950F7"/>
    <w:rsid w:val="00295BB3"/>
    <w:rsid w:val="00297F4B"/>
    <w:rsid w:val="002B562F"/>
    <w:rsid w:val="002B6146"/>
    <w:rsid w:val="002B7942"/>
    <w:rsid w:val="002C3A0B"/>
    <w:rsid w:val="002C66F1"/>
    <w:rsid w:val="002C7CF8"/>
    <w:rsid w:val="002D0BD3"/>
    <w:rsid w:val="002D133D"/>
    <w:rsid w:val="002D20A8"/>
    <w:rsid w:val="002D65BE"/>
    <w:rsid w:val="002D7E3A"/>
    <w:rsid w:val="002E2302"/>
    <w:rsid w:val="002E26B9"/>
    <w:rsid w:val="002E5BA1"/>
    <w:rsid w:val="002E619C"/>
    <w:rsid w:val="002E751D"/>
    <w:rsid w:val="003004B4"/>
    <w:rsid w:val="003045F7"/>
    <w:rsid w:val="00304668"/>
    <w:rsid w:val="003062EC"/>
    <w:rsid w:val="003140AD"/>
    <w:rsid w:val="003140E4"/>
    <w:rsid w:val="003171CC"/>
    <w:rsid w:val="00320CAB"/>
    <w:rsid w:val="00321657"/>
    <w:rsid w:val="003236D8"/>
    <w:rsid w:val="00326B7E"/>
    <w:rsid w:val="003304E2"/>
    <w:rsid w:val="0034096F"/>
    <w:rsid w:val="00343A60"/>
    <w:rsid w:val="003461B4"/>
    <w:rsid w:val="00350CD7"/>
    <w:rsid w:val="00352C4F"/>
    <w:rsid w:val="003562E8"/>
    <w:rsid w:val="0036321C"/>
    <w:rsid w:val="00376628"/>
    <w:rsid w:val="00377874"/>
    <w:rsid w:val="0038714E"/>
    <w:rsid w:val="00390887"/>
    <w:rsid w:val="00391F28"/>
    <w:rsid w:val="003930D8"/>
    <w:rsid w:val="003938CE"/>
    <w:rsid w:val="00393A66"/>
    <w:rsid w:val="00394054"/>
    <w:rsid w:val="00394B1F"/>
    <w:rsid w:val="003956C8"/>
    <w:rsid w:val="003A1EE0"/>
    <w:rsid w:val="003A496D"/>
    <w:rsid w:val="003A559C"/>
    <w:rsid w:val="003A7950"/>
    <w:rsid w:val="003B2B79"/>
    <w:rsid w:val="003C2559"/>
    <w:rsid w:val="003C71A2"/>
    <w:rsid w:val="003D10C4"/>
    <w:rsid w:val="003D2937"/>
    <w:rsid w:val="003D3FA1"/>
    <w:rsid w:val="003D58B0"/>
    <w:rsid w:val="003E62E8"/>
    <w:rsid w:val="003E699C"/>
    <w:rsid w:val="003F3B0F"/>
    <w:rsid w:val="003F40BF"/>
    <w:rsid w:val="0040477A"/>
    <w:rsid w:val="00407E0B"/>
    <w:rsid w:val="004102B2"/>
    <w:rsid w:val="00410369"/>
    <w:rsid w:val="004148B9"/>
    <w:rsid w:val="00416DBB"/>
    <w:rsid w:val="00426F9C"/>
    <w:rsid w:val="004274B4"/>
    <w:rsid w:val="00431F1E"/>
    <w:rsid w:val="00445943"/>
    <w:rsid w:val="00450BED"/>
    <w:rsid w:val="00452079"/>
    <w:rsid w:val="00456045"/>
    <w:rsid w:val="0045706B"/>
    <w:rsid w:val="0045735E"/>
    <w:rsid w:val="004639F6"/>
    <w:rsid w:val="00473BB4"/>
    <w:rsid w:val="004760FE"/>
    <w:rsid w:val="004779FE"/>
    <w:rsid w:val="00480DD4"/>
    <w:rsid w:val="00483362"/>
    <w:rsid w:val="004913EF"/>
    <w:rsid w:val="00491EB9"/>
    <w:rsid w:val="00493E9E"/>
    <w:rsid w:val="004A35AE"/>
    <w:rsid w:val="004C5306"/>
    <w:rsid w:val="004E13D8"/>
    <w:rsid w:val="004E3CDD"/>
    <w:rsid w:val="004E6D51"/>
    <w:rsid w:val="00511CE6"/>
    <w:rsid w:val="00520173"/>
    <w:rsid w:val="0053342F"/>
    <w:rsid w:val="00534CBF"/>
    <w:rsid w:val="00537EB3"/>
    <w:rsid w:val="00540A25"/>
    <w:rsid w:val="00540C51"/>
    <w:rsid w:val="00543962"/>
    <w:rsid w:val="00555314"/>
    <w:rsid w:val="00566D68"/>
    <w:rsid w:val="005722E0"/>
    <w:rsid w:val="0057703B"/>
    <w:rsid w:val="005812FA"/>
    <w:rsid w:val="005818AE"/>
    <w:rsid w:val="005819E8"/>
    <w:rsid w:val="00583CD2"/>
    <w:rsid w:val="0058518A"/>
    <w:rsid w:val="005856B2"/>
    <w:rsid w:val="0058613B"/>
    <w:rsid w:val="005A2039"/>
    <w:rsid w:val="005A4D04"/>
    <w:rsid w:val="005A5DB5"/>
    <w:rsid w:val="005A60E7"/>
    <w:rsid w:val="005A7998"/>
    <w:rsid w:val="005B0391"/>
    <w:rsid w:val="005B11E3"/>
    <w:rsid w:val="005C1A0D"/>
    <w:rsid w:val="005C389C"/>
    <w:rsid w:val="005C419B"/>
    <w:rsid w:val="005D44A7"/>
    <w:rsid w:val="005E747B"/>
    <w:rsid w:val="005F15C5"/>
    <w:rsid w:val="005F2DC2"/>
    <w:rsid w:val="005F4095"/>
    <w:rsid w:val="005F5F62"/>
    <w:rsid w:val="00612327"/>
    <w:rsid w:val="006236A7"/>
    <w:rsid w:val="00627BCA"/>
    <w:rsid w:val="0064016B"/>
    <w:rsid w:val="00640389"/>
    <w:rsid w:val="00643811"/>
    <w:rsid w:val="00647659"/>
    <w:rsid w:val="00651609"/>
    <w:rsid w:val="0065721D"/>
    <w:rsid w:val="00660169"/>
    <w:rsid w:val="0066071B"/>
    <w:rsid w:val="00667449"/>
    <w:rsid w:val="00670712"/>
    <w:rsid w:val="00672147"/>
    <w:rsid w:val="00674233"/>
    <w:rsid w:val="006753C1"/>
    <w:rsid w:val="00683359"/>
    <w:rsid w:val="00684E4B"/>
    <w:rsid w:val="00685D7C"/>
    <w:rsid w:val="00693B06"/>
    <w:rsid w:val="006A2733"/>
    <w:rsid w:val="006B3756"/>
    <w:rsid w:val="006B6119"/>
    <w:rsid w:val="006C4963"/>
    <w:rsid w:val="006C4F82"/>
    <w:rsid w:val="006C7D0E"/>
    <w:rsid w:val="006D0944"/>
    <w:rsid w:val="006D316E"/>
    <w:rsid w:val="006D36A8"/>
    <w:rsid w:val="006D447A"/>
    <w:rsid w:val="006E2E54"/>
    <w:rsid w:val="006E40E2"/>
    <w:rsid w:val="006E4ABA"/>
    <w:rsid w:val="006F25FD"/>
    <w:rsid w:val="006F7214"/>
    <w:rsid w:val="00700C32"/>
    <w:rsid w:val="0070116B"/>
    <w:rsid w:val="007029A8"/>
    <w:rsid w:val="00703A36"/>
    <w:rsid w:val="00703C94"/>
    <w:rsid w:val="007100F9"/>
    <w:rsid w:val="00710A60"/>
    <w:rsid w:val="00712084"/>
    <w:rsid w:val="007123A2"/>
    <w:rsid w:val="00720C57"/>
    <w:rsid w:val="00720E36"/>
    <w:rsid w:val="007224DE"/>
    <w:rsid w:val="00724BA9"/>
    <w:rsid w:val="00726FD0"/>
    <w:rsid w:val="00730D08"/>
    <w:rsid w:val="0073151E"/>
    <w:rsid w:val="00731B63"/>
    <w:rsid w:val="00732183"/>
    <w:rsid w:val="00734718"/>
    <w:rsid w:val="00737B0F"/>
    <w:rsid w:val="00737FBA"/>
    <w:rsid w:val="00750A48"/>
    <w:rsid w:val="007516EC"/>
    <w:rsid w:val="007526DE"/>
    <w:rsid w:val="00756EF6"/>
    <w:rsid w:val="00763C10"/>
    <w:rsid w:val="00764CD6"/>
    <w:rsid w:val="00767B8E"/>
    <w:rsid w:val="00770C77"/>
    <w:rsid w:val="007721DA"/>
    <w:rsid w:val="007728EA"/>
    <w:rsid w:val="00773247"/>
    <w:rsid w:val="00785602"/>
    <w:rsid w:val="007876D3"/>
    <w:rsid w:val="00790D86"/>
    <w:rsid w:val="00792C86"/>
    <w:rsid w:val="00795452"/>
    <w:rsid w:val="00796D9E"/>
    <w:rsid w:val="00797402"/>
    <w:rsid w:val="007A16D4"/>
    <w:rsid w:val="007A32A0"/>
    <w:rsid w:val="007B0308"/>
    <w:rsid w:val="007B0CC7"/>
    <w:rsid w:val="007B3DD9"/>
    <w:rsid w:val="007B5593"/>
    <w:rsid w:val="007B7811"/>
    <w:rsid w:val="007C07EA"/>
    <w:rsid w:val="007C3A35"/>
    <w:rsid w:val="007D52F1"/>
    <w:rsid w:val="007D6ADF"/>
    <w:rsid w:val="007D742E"/>
    <w:rsid w:val="007E25A0"/>
    <w:rsid w:val="007E2FC8"/>
    <w:rsid w:val="007E6DCD"/>
    <w:rsid w:val="007E7DF7"/>
    <w:rsid w:val="007F507E"/>
    <w:rsid w:val="007F5189"/>
    <w:rsid w:val="007F7768"/>
    <w:rsid w:val="007F79F7"/>
    <w:rsid w:val="00803746"/>
    <w:rsid w:val="00804859"/>
    <w:rsid w:val="00805DEA"/>
    <w:rsid w:val="00806330"/>
    <w:rsid w:val="00806A58"/>
    <w:rsid w:val="00816572"/>
    <w:rsid w:val="00816A00"/>
    <w:rsid w:val="008179CA"/>
    <w:rsid w:val="008203C2"/>
    <w:rsid w:val="0082337C"/>
    <w:rsid w:val="00827C4F"/>
    <w:rsid w:val="008333DD"/>
    <w:rsid w:val="00835036"/>
    <w:rsid w:val="008436FB"/>
    <w:rsid w:val="008526EE"/>
    <w:rsid w:val="0085359A"/>
    <w:rsid w:val="008625EC"/>
    <w:rsid w:val="0086407E"/>
    <w:rsid w:val="0086493D"/>
    <w:rsid w:val="008666E1"/>
    <w:rsid w:val="00867AF8"/>
    <w:rsid w:val="00867D33"/>
    <w:rsid w:val="008753F1"/>
    <w:rsid w:val="00876FA9"/>
    <w:rsid w:val="00877BD4"/>
    <w:rsid w:val="00892C10"/>
    <w:rsid w:val="00894D10"/>
    <w:rsid w:val="00895EA4"/>
    <w:rsid w:val="008A1BD4"/>
    <w:rsid w:val="008A6328"/>
    <w:rsid w:val="008A7802"/>
    <w:rsid w:val="008B00FF"/>
    <w:rsid w:val="008B4CB1"/>
    <w:rsid w:val="008B6450"/>
    <w:rsid w:val="008C0AD9"/>
    <w:rsid w:val="008C5B45"/>
    <w:rsid w:val="008D0FD4"/>
    <w:rsid w:val="008D114A"/>
    <w:rsid w:val="008D1A0D"/>
    <w:rsid w:val="008D5019"/>
    <w:rsid w:val="008E0C5D"/>
    <w:rsid w:val="008E14AA"/>
    <w:rsid w:val="008E367A"/>
    <w:rsid w:val="008E591C"/>
    <w:rsid w:val="008F45B7"/>
    <w:rsid w:val="008F62F5"/>
    <w:rsid w:val="008F772E"/>
    <w:rsid w:val="0090191D"/>
    <w:rsid w:val="009035F9"/>
    <w:rsid w:val="009053EA"/>
    <w:rsid w:val="00906E32"/>
    <w:rsid w:val="00906EFA"/>
    <w:rsid w:val="0090765B"/>
    <w:rsid w:val="0091312A"/>
    <w:rsid w:val="00924D08"/>
    <w:rsid w:val="0094350C"/>
    <w:rsid w:val="00946D3F"/>
    <w:rsid w:val="00951561"/>
    <w:rsid w:val="00952B70"/>
    <w:rsid w:val="00953322"/>
    <w:rsid w:val="0096051F"/>
    <w:rsid w:val="00961D4A"/>
    <w:rsid w:val="009724A7"/>
    <w:rsid w:val="00972D5E"/>
    <w:rsid w:val="009731E4"/>
    <w:rsid w:val="00980CA4"/>
    <w:rsid w:val="0098229D"/>
    <w:rsid w:val="009867C2"/>
    <w:rsid w:val="00987807"/>
    <w:rsid w:val="009961AA"/>
    <w:rsid w:val="009A066F"/>
    <w:rsid w:val="009A24F7"/>
    <w:rsid w:val="009A67F3"/>
    <w:rsid w:val="009B1E78"/>
    <w:rsid w:val="009B5AA1"/>
    <w:rsid w:val="009C1A34"/>
    <w:rsid w:val="009C3461"/>
    <w:rsid w:val="009C353D"/>
    <w:rsid w:val="009C414A"/>
    <w:rsid w:val="009C6BDA"/>
    <w:rsid w:val="009C72AE"/>
    <w:rsid w:val="009D37B7"/>
    <w:rsid w:val="009E06DC"/>
    <w:rsid w:val="009E14CE"/>
    <w:rsid w:val="009E3EBD"/>
    <w:rsid w:val="009E60EE"/>
    <w:rsid w:val="009F2B6B"/>
    <w:rsid w:val="009F59CF"/>
    <w:rsid w:val="00A02F59"/>
    <w:rsid w:val="00A0326A"/>
    <w:rsid w:val="00A04413"/>
    <w:rsid w:val="00A107D5"/>
    <w:rsid w:val="00A23602"/>
    <w:rsid w:val="00A25F6D"/>
    <w:rsid w:val="00A33E1A"/>
    <w:rsid w:val="00A35318"/>
    <w:rsid w:val="00A36458"/>
    <w:rsid w:val="00A410BC"/>
    <w:rsid w:val="00A44995"/>
    <w:rsid w:val="00A47C6F"/>
    <w:rsid w:val="00A515CB"/>
    <w:rsid w:val="00A51F14"/>
    <w:rsid w:val="00A52232"/>
    <w:rsid w:val="00A555CD"/>
    <w:rsid w:val="00A626CE"/>
    <w:rsid w:val="00A6324E"/>
    <w:rsid w:val="00A64B7F"/>
    <w:rsid w:val="00A6550F"/>
    <w:rsid w:val="00A65F15"/>
    <w:rsid w:val="00A717DE"/>
    <w:rsid w:val="00A765FA"/>
    <w:rsid w:val="00A806F2"/>
    <w:rsid w:val="00A816C7"/>
    <w:rsid w:val="00A87570"/>
    <w:rsid w:val="00A906C6"/>
    <w:rsid w:val="00A92817"/>
    <w:rsid w:val="00A944C8"/>
    <w:rsid w:val="00AA0975"/>
    <w:rsid w:val="00AA0B5E"/>
    <w:rsid w:val="00AA132E"/>
    <w:rsid w:val="00AA2D23"/>
    <w:rsid w:val="00AA41EF"/>
    <w:rsid w:val="00AA6117"/>
    <w:rsid w:val="00AA67C0"/>
    <w:rsid w:val="00AC3E12"/>
    <w:rsid w:val="00AC698A"/>
    <w:rsid w:val="00AC726A"/>
    <w:rsid w:val="00AC7DA4"/>
    <w:rsid w:val="00AD6D6C"/>
    <w:rsid w:val="00AD7C56"/>
    <w:rsid w:val="00AE6B46"/>
    <w:rsid w:val="00B033FB"/>
    <w:rsid w:val="00B041BF"/>
    <w:rsid w:val="00B1524E"/>
    <w:rsid w:val="00B254D9"/>
    <w:rsid w:val="00B27A6E"/>
    <w:rsid w:val="00B3759E"/>
    <w:rsid w:val="00B378D5"/>
    <w:rsid w:val="00B4049D"/>
    <w:rsid w:val="00B47C7A"/>
    <w:rsid w:val="00B56D42"/>
    <w:rsid w:val="00B56D59"/>
    <w:rsid w:val="00B64EB0"/>
    <w:rsid w:val="00B722DF"/>
    <w:rsid w:val="00B777C1"/>
    <w:rsid w:val="00B82392"/>
    <w:rsid w:val="00B82871"/>
    <w:rsid w:val="00B900E5"/>
    <w:rsid w:val="00B906D5"/>
    <w:rsid w:val="00BA2513"/>
    <w:rsid w:val="00BA6085"/>
    <w:rsid w:val="00BB4C95"/>
    <w:rsid w:val="00BB50FC"/>
    <w:rsid w:val="00BC1BDD"/>
    <w:rsid w:val="00BC3E09"/>
    <w:rsid w:val="00BD2914"/>
    <w:rsid w:val="00BD3A63"/>
    <w:rsid w:val="00BD3F68"/>
    <w:rsid w:val="00BD51F7"/>
    <w:rsid w:val="00BD5BD6"/>
    <w:rsid w:val="00BD669A"/>
    <w:rsid w:val="00BD6C56"/>
    <w:rsid w:val="00BE342B"/>
    <w:rsid w:val="00BE3B4F"/>
    <w:rsid w:val="00C01697"/>
    <w:rsid w:val="00C027B1"/>
    <w:rsid w:val="00C044F7"/>
    <w:rsid w:val="00C05A94"/>
    <w:rsid w:val="00C078CF"/>
    <w:rsid w:val="00C12822"/>
    <w:rsid w:val="00C15000"/>
    <w:rsid w:val="00C20EC1"/>
    <w:rsid w:val="00C22FF1"/>
    <w:rsid w:val="00C2344D"/>
    <w:rsid w:val="00C24634"/>
    <w:rsid w:val="00C310F3"/>
    <w:rsid w:val="00C3547C"/>
    <w:rsid w:val="00C416A6"/>
    <w:rsid w:val="00C53C2C"/>
    <w:rsid w:val="00C5599D"/>
    <w:rsid w:val="00C560F5"/>
    <w:rsid w:val="00C572DA"/>
    <w:rsid w:val="00C57B21"/>
    <w:rsid w:val="00C6319B"/>
    <w:rsid w:val="00C65C1B"/>
    <w:rsid w:val="00C67250"/>
    <w:rsid w:val="00C719C3"/>
    <w:rsid w:val="00C71E48"/>
    <w:rsid w:val="00C72E77"/>
    <w:rsid w:val="00C73EC4"/>
    <w:rsid w:val="00C849B5"/>
    <w:rsid w:val="00C91332"/>
    <w:rsid w:val="00C9176E"/>
    <w:rsid w:val="00C92FE4"/>
    <w:rsid w:val="00C930C5"/>
    <w:rsid w:val="00C93248"/>
    <w:rsid w:val="00C95B04"/>
    <w:rsid w:val="00CA3C3A"/>
    <w:rsid w:val="00CA79A9"/>
    <w:rsid w:val="00CC6971"/>
    <w:rsid w:val="00CD13CD"/>
    <w:rsid w:val="00CD53DB"/>
    <w:rsid w:val="00CE050C"/>
    <w:rsid w:val="00CE2BF9"/>
    <w:rsid w:val="00CE3C32"/>
    <w:rsid w:val="00CE43F5"/>
    <w:rsid w:val="00CE5D93"/>
    <w:rsid w:val="00CE633C"/>
    <w:rsid w:val="00CF0590"/>
    <w:rsid w:val="00CF0BF4"/>
    <w:rsid w:val="00CF280A"/>
    <w:rsid w:val="00CF3895"/>
    <w:rsid w:val="00CF3957"/>
    <w:rsid w:val="00CF7602"/>
    <w:rsid w:val="00D02669"/>
    <w:rsid w:val="00D03E26"/>
    <w:rsid w:val="00D05E45"/>
    <w:rsid w:val="00D105BD"/>
    <w:rsid w:val="00D13E5E"/>
    <w:rsid w:val="00D16BAB"/>
    <w:rsid w:val="00D17B77"/>
    <w:rsid w:val="00D2402E"/>
    <w:rsid w:val="00D2557B"/>
    <w:rsid w:val="00D30886"/>
    <w:rsid w:val="00D34024"/>
    <w:rsid w:val="00D376B5"/>
    <w:rsid w:val="00D3797A"/>
    <w:rsid w:val="00D41EA2"/>
    <w:rsid w:val="00D41EDD"/>
    <w:rsid w:val="00D4708E"/>
    <w:rsid w:val="00D51164"/>
    <w:rsid w:val="00D5500E"/>
    <w:rsid w:val="00D57707"/>
    <w:rsid w:val="00D61659"/>
    <w:rsid w:val="00D61913"/>
    <w:rsid w:val="00D675A4"/>
    <w:rsid w:val="00D67B61"/>
    <w:rsid w:val="00D708EF"/>
    <w:rsid w:val="00D73781"/>
    <w:rsid w:val="00DA36EB"/>
    <w:rsid w:val="00DA5269"/>
    <w:rsid w:val="00DA65DB"/>
    <w:rsid w:val="00DB0B93"/>
    <w:rsid w:val="00DB24E9"/>
    <w:rsid w:val="00DB294E"/>
    <w:rsid w:val="00DB6744"/>
    <w:rsid w:val="00DC0A39"/>
    <w:rsid w:val="00DD6945"/>
    <w:rsid w:val="00DE0614"/>
    <w:rsid w:val="00DE50D1"/>
    <w:rsid w:val="00DF2780"/>
    <w:rsid w:val="00DF34B6"/>
    <w:rsid w:val="00DF4F29"/>
    <w:rsid w:val="00DF5A3A"/>
    <w:rsid w:val="00E051D7"/>
    <w:rsid w:val="00E10B0B"/>
    <w:rsid w:val="00E10CED"/>
    <w:rsid w:val="00E129A3"/>
    <w:rsid w:val="00E24E91"/>
    <w:rsid w:val="00E27AC7"/>
    <w:rsid w:val="00E3037A"/>
    <w:rsid w:val="00E31471"/>
    <w:rsid w:val="00E35B38"/>
    <w:rsid w:val="00E3654C"/>
    <w:rsid w:val="00E42F35"/>
    <w:rsid w:val="00E44161"/>
    <w:rsid w:val="00E464B8"/>
    <w:rsid w:val="00E47B2C"/>
    <w:rsid w:val="00E47ECE"/>
    <w:rsid w:val="00E5498B"/>
    <w:rsid w:val="00E553C0"/>
    <w:rsid w:val="00E56267"/>
    <w:rsid w:val="00E605C7"/>
    <w:rsid w:val="00E625EC"/>
    <w:rsid w:val="00E73041"/>
    <w:rsid w:val="00E734DC"/>
    <w:rsid w:val="00E745B7"/>
    <w:rsid w:val="00E752FD"/>
    <w:rsid w:val="00E805F6"/>
    <w:rsid w:val="00E848FE"/>
    <w:rsid w:val="00E9378C"/>
    <w:rsid w:val="00E9614C"/>
    <w:rsid w:val="00EA0F85"/>
    <w:rsid w:val="00EA12FB"/>
    <w:rsid w:val="00EA2AD0"/>
    <w:rsid w:val="00EB1DB1"/>
    <w:rsid w:val="00EB336E"/>
    <w:rsid w:val="00EB5762"/>
    <w:rsid w:val="00EC67B8"/>
    <w:rsid w:val="00ED0459"/>
    <w:rsid w:val="00ED380F"/>
    <w:rsid w:val="00EE0B3D"/>
    <w:rsid w:val="00EF00A9"/>
    <w:rsid w:val="00F05D6B"/>
    <w:rsid w:val="00F05E0E"/>
    <w:rsid w:val="00F101F9"/>
    <w:rsid w:val="00F1138C"/>
    <w:rsid w:val="00F22AD9"/>
    <w:rsid w:val="00F262A5"/>
    <w:rsid w:val="00F3319D"/>
    <w:rsid w:val="00F33800"/>
    <w:rsid w:val="00F339F5"/>
    <w:rsid w:val="00F34825"/>
    <w:rsid w:val="00F34AF8"/>
    <w:rsid w:val="00F50944"/>
    <w:rsid w:val="00F52FBA"/>
    <w:rsid w:val="00F54A79"/>
    <w:rsid w:val="00F576F4"/>
    <w:rsid w:val="00F578FE"/>
    <w:rsid w:val="00F604E6"/>
    <w:rsid w:val="00F62407"/>
    <w:rsid w:val="00F646CA"/>
    <w:rsid w:val="00F83DC9"/>
    <w:rsid w:val="00F862E6"/>
    <w:rsid w:val="00F91F84"/>
    <w:rsid w:val="00F94A63"/>
    <w:rsid w:val="00F97D62"/>
    <w:rsid w:val="00FA13B0"/>
    <w:rsid w:val="00FA1D93"/>
    <w:rsid w:val="00FA1ECB"/>
    <w:rsid w:val="00FC1605"/>
    <w:rsid w:val="00FD24B0"/>
    <w:rsid w:val="00FE25F2"/>
    <w:rsid w:val="00FE273C"/>
    <w:rsid w:val="00FE65B1"/>
    <w:rsid w:val="00FF5A5E"/>
    <w:rsid w:val="00FF783A"/>
    <w:rsid w:val="02E20A86"/>
    <w:rsid w:val="03100B75"/>
    <w:rsid w:val="05C068AE"/>
    <w:rsid w:val="07926BB5"/>
    <w:rsid w:val="0A572950"/>
    <w:rsid w:val="0AFD0D4A"/>
    <w:rsid w:val="0B51241A"/>
    <w:rsid w:val="0BF43FC7"/>
    <w:rsid w:val="0E277C2C"/>
    <w:rsid w:val="0E360E5B"/>
    <w:rsid w:val="0F27113E"/>
    <w:rsid w:val="11CE2B04"/>
    <w:rsid w:val="120F4ED4"/>
    <w:rsid w:val="130813FB"/>
    <w:rsid w:val="134E638C"/>
    <w:rsid w:val="21675728"/>
    <w:rsid w:val="240116A7"/>
    <w:rsid w:val="297576A1"/>
    <w:rsid w:val="2BEA2344"/>
    <w:rsid w:val="2D27331C"/>
    <w:rsid w:val="2DEA6AF4"/>
    <w:rsid w:val="2F104E65"/>
    <w:rsid w:val="2F684456"/>
    <w:rsid w:val="31DD7633"/>
    <w:rsid w:val="345233DB"/>
    <w:rsid w:val="365C21F2"/>
    <w:rsid w:val="3AC22F99"/>
    <w:rsid w:val="3B6F25C2"/>
    <w:rsid w:val="3F2B7E50"/>
    <w:rsid w:val="404E0C0D"/>
    <w:rsid w:val="4129339C"/>
    <w:rsid w:val="44B77D78"/>
    <w:rsid w:val="44F95C3C"/>
    <w:rsid w:val="477723C9"/>
    <w:rsid w:val="488768E8"/>
    <w:rsid w:val="48C2036F"/>
    <w:rsid w:val="48C96394"/>
    <w:rsid w:val="49513E1A"/>
    <w:rsid w:val="4BD85CC6"/>
    <w:rsid w:val="4C02530E"/>
    <w:rsid w:val="4EC211A0"/>
    <w:rsid w:val="4EE4654F"/>
    <w:rsid w:val="4FE80A3D"/>
    <w:rsid w:val="522E4EF9"/>
    <w:rsid w:val="54306163"/>
    <w:rsid w:val="54FC736D"/>
    <w:rsid w:val="558E242D"/>
    <w:rsid w:val="56CE4327"/>
    <w:rsid w:val="57E01CCF"/>
    <w:rsid w:val="59036D7A"/>
    <w:rsid w:val="5B1C28B5"/>
    <w:rsid w:val="61044CB7"/>
    <w:rsid w:val="65574125"/>
    <w:rsid w:val="66540CAF"/>
    <w:rsid w:val="66E13DF4"/>
    <w:rsid w:val="69A45443"/>
    <w:rsid w:val="6AFD3E68"/>
    <w:rsid w:val="6B2209F7"/>
    <w:rsid w:val="6CC82054"/>
    <w:rsid w:val="6D98526C"/>
    <w:rsid w:val="7266240A"/>
    <w:rsid w:val="731F4393"/>
    <w:rsid w:val="73DF5A57"/>
    <w:rsid w:val="76521245"/>
    <w:rsid w:val="7A355B82"/>
    <w:rsid w:val="7A3E5502"/>
    <w:rsid w:val="7E2D2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qFormat/>
    <w:uiPriority w:val="0"/>
    <w:pPr>
      <w:tabs>
        <w:tab w:val="center" w:pos="4153"/>
        <w:tab w:val="right" w:pos="8306"/>
      </w:tabs>
      <w:snapToGrid w:val="0"/>
      <w:jc w:val="left"/>
    </w:pPr>
    <w:rPr>
      <w:sz w:val="18"/>
    </w:rPr>
  </w:style>
  <w:style w:type="paragraph" w:styleId="4">
    <w:name w:val="header"/>
    <w:basedOn w:val="1"/>
    <w:link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p0"/>
    <w:basedOn w:val="1"/>
    <w:qFormat/>
    <w:uiPriority w:val="0"/>
    <w:pPr>
      <w:widowControl/>
    </w:pPr>
    <w:rPr>
      <w:kern w:val="0"/>
      <w:szCs w:val="21"/>
    </w:rPr>
  </w:style>
  <w:style w:type="character" w:customStyle="1" w:styleId="8">
    <w:name w:val="页眉 Char"/>
    <w:basedOn w:val="5"/>
    <w:link w:val="4"/>
    <w:qFormat/>
    <w:uiPriority w:val="0"/>
    <w:rPr>
      <w:rFonts w:ascii="Times New Roman" w:hAnsi="Times New Roman" w:eastAsia="宋体" w:cs="Times New Roman"/>
      <w:sz w:val="18"/>
      <w:szCs w:val="20"/>
    </w:rPr>
  </w:style>
  <w:style w:type="character" w:customStyle="1" w:styleId="9">
    <w:name w:val="页脚 Char"/>
    <w:basedOn w:val="5"/>
    <w:link w:val="3"/>
    <w:qFormat/>
    <w:uiPriority w:val="0"/>
    <w:rPr>
      <w:rFonts w:ascii="Times New Roman" w:hAnsi="Times New Roman" w:eastAsia="宋体" w:cs="Times New Roman"/>
      <w:sz w:val="18"/>
      <w:szCs w:val="20"/>
    </w:rPr>
  </w:style>
  <w:style w:type="character" w:customStyle="1" w:styleId="10">
    <w:name w:val="批注框文本 Char"/>
    <w:basedOn w:val="5"/>
    <w:link w:val="2"/>
    <w:semiHidden/>
    <w:qFormat/>
    <w:uiPriority w:val="99"/>
    <w:rPr>
      <w:rFonts w:ascii="Times New Roman" w:hAnsi="Times New Roman" w:eastAsia="宋体" w:cs="Times New Roman"/>
      <w:sz w:val="18"/>
      <w:szCs w:val="18"/>
    </w:rPr>
  </w:style>
  <w:style w:type="paragraph" w:customStyle="1"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emf"/><Relationship Id="rId11" Type="http://schemas.openxmlformats.org/officeDocument/2006/relationships/image" Target="media/image2.emf"/><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475</Words>
  <Characters>2711</Characters>
  <Lines>22</Lines>
  <Paragraphs>6</Paragraphs>
  <TotalTime>5</TotalTime>
  <ScaleCrop>false</ScaleCrop>
  <LinksUpToDate>false</LinksUpToDate>
  <CharactersWithSpaces>3180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2018-08-15T02:14:00Z</dcterms:created>
  <dc:creator>lenovo</dc:creator>
  <cp:lastModifiedBy>执子之手</cp:lastModifiedBy>
  <cp:lastPrinted>2018-10-23T05:37:00Z</cp:lastPrinted>
  <dcterms:modified xsi:type="dcterms:W3CDTF">2018-10-23T08:29:38Z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