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7C6A" w:rsidRDefault="004E7C6A">
      <w:pPr>
        <w:spacing w:line="437" w:lineRule="exact"/>
        <w:ind w:right="-19"/>
        <w:jc w:val="center"/>
        <w:rPr>
          <w:sz w:val="20"/>
          <w:szCs w:val="20"/>
        </w:rPr>
      </w:pPr>
      <w:bookmarkStart w:id="0" w:name="page1"/>
      <w:bookmarkEnd w:id="0"/>
      <w:r>
        <w:rPr>
          <w:rFonts w:ascii="Arial" w:eastAsia="Times New Roman" w:hAnsi="Arial" w:cs="Arial"/>
          <w:b/>
          <w:bCs/>
          <w:sz w:val="36"/>
          <w:szCs w:val="36"/>
        </w:rPr>
        <w:t>2017</w:t>
      </w:r>
      <w:r>
        <w:rPr>
          <w:rFonts w:ascii="宋体" w:hAnsi="宋体" w:cs="宋体" w:hint="eastAsia"/>
          <w:b/>
          <w:bCs/>
          <w:sz w:val="36"/>
          <w:szCs w:val="36"/>
        </w:rPr>
        <w:t>年大余县国有资本经营预算支出决算表</w:t>
      </w:r>
    </w:p>
    <w:p w:rsidR="004E7C6A" w:rsidRDefault="004E7C6A">
      <w:pPr>
        <w:spacing w:line="204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A0"/>
      </w:tblPr>
      <w:tblGrid>
        <w:gridCol w:w="2100"/>
        <w:gridCol w:w="2100"/>
        <w:gridCol w:w="1020"/>
        <w:gridCol w:w="1040"/>
        <w:gridCol w:w="1040"/>
        <w:gridCol w:w="1460"/>
        <w:gridCol w:w="1520"/>
        <w:gridCol w:w="30"/>
      </w:tblGrid>
      <w:tr w:rsidR="004E7C6A" w:rsidRPr="007D1C0B">
        <w:trPr>
          <w:trHeight w:val="228"/>
        </w:trPr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19"/>
                <w:szCs w:val="19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19"/>
                <w:szCs w:val="19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19"/>
                <w:szCs w:val="19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19"/>
                <w:szCs w:val="19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19"/>
                <w:szCs w:val="19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19"/>
                <w:szCs w:val="19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ind w:left="50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w w:val="97"/>
                <w:sz w:val="20"/>
                <w:szCs w:val="20"/>
              </w:rPr>
              <w:t>单位：万元</w:t>
            </w: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388"/>
        </w:trPr>
        <w:tc>
          <w:tcPr>
            <w:tcW w:w="420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w w:val="99"/>
              </w:rPr>
              <w:t>科目名称（功能）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</w:rPr>
              <w:t>2016</w:t>
            </w:r>
            <w:r>
              <w:rPr>
                <w:rFonts w:ascii="宋体" w:hAnsi="宋体" w:cs="宋体" w:hint="eastAsia"/>
                <w:w w:val="99"/>
              </w:rPr>
              <w:t>年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</w:rPr>
              <w:t>2017</w:t>
            </w:r>
            <w:r>
              <w:rPr>
                <w:rFonts w:ascii="宋体" w:hAnsi="宋体" w:cs="宋体" w:hint="eastAsia"/>
                <w:w w:val="99"/>
              </w:rPr>
              <w:t>年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</w:rPr>
              <w:t>2017</w:t>
            </w:r>
            <w:r>
              <w:rPr>
                <w:rFonts w:ascii="宋体" w:hAnsi="宋体" w:cs="宋体" w:hint="eastAsia"/>
                <w:w w:val="99"/>
              </w:rPr>
              <w:t>年</w:t>
            </w: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</w:rPr>
              <w:t>决算数是预算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w w:val="99"/>
              </w:rPr>
              <w:t>决算数是上年</w:t>
            </w: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136"/>
        </w:trPr>
        <w:tc>
          <w:tcPr>
            <w:tcW w:w="420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11"/>
                <w:szCs w:val="11"/>
              </w:rPr>
            </w:pPr>
          </w:p>
        </w:tc>
        <w:tc>
          <w:tcPr>
            <w:tcW w:w="1020" w:type="dxa"/>
            <w:vMerge w:val="restart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w w:val="99"/>
              </w:rPr>
              <w:t>决算数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w w:val="99"/>
              </w:rPr>
              <w:t>预算数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w w:val="99"/>
              </w:rPr>
              <w:t>决算数</w:t>
            </w:r>
          </w:p>
        </w:tc>
        <w:tc>
          <w:tcPr>
            <w:tcW w:w="1460" w:type="dxa"/>
            <w:vMerge w:val="restart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w w:val="98"/>
              </w:rPr>
              <w:t>数的</w:t>
            </w:r>
            <w:r>
              <w:rPr>
                <w:rFonts w:ascii="宋体" w:hAnsi="宋体" w:cs="宋体"/>
                <w:w w:val="98"/>
              </w:rPr>
              <w:t>%</w:t>
            </w:r>
          </w:p>
        </w:tc>
        <w:tc>
          <w:tcPr>
            <w:tcW w:w="1520" w:type="dxa"/>
            <w:vMerge w:val="restart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</w:rPr>
              <w:t>决算数的</w:t>
            </w:r>
            <w:r>
              <w:rPr>
                <w:rFonts w:ascii="宋体" w:hAnsi="宋体" w:cs="宋体"/>
              </w:rPr>
              <w:t>%</w:t>
            </w: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135"/>
        </w:trPr>
        <w:tc>
          <w:tcPr>
            <w:tcW w:w="2100" w:type="dxa"/>
            <w:tcBorders>
              <w:lef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11"/>
                <w:szCs w:val="11"/>
              </w:rPr>
            </w:pPr>
          </w:p>
        </w:tc>
        <w:tc>
          <w:tcPr>
            <w:tcW w:w="21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11"/>
                <w:szCs w:val="11"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11"/>
                <w:szCs w:val="11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11"/>
                <w:szCs w:val="11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11"/>
                <w:szCs w:val="11"/>
              </w:rPr>
            </w:pPr>
          </w:p>
        </w:tc>
        <w:tc>
          <w:tcPr>
            <w:tcW w:w="1460" w:type="dxa"/>
            <w:vMerge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11"/>
                <w:szCs w:val="11"/>
              </w:rPr>
            </w:pPr>
          </w:p>
        </w:tc>
        <w:tc>
          <w:tcPr>
            <w:tcW w:w="1520" w:type="dxa"/>
            <w:vMerge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142"/>
        </w:trPr>
        <w:tc>
          <w:tcPr>
            <w:tcW w:w="42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12"/>
                <w:szCs w:val="12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12"/>
                <w:szCs w:val="12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12"/>
                <w:szCs w:val="12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12"/>
                <w:szCs w:val="12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12"/>
                <w:szCs w:val="12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327"/>
        </w:trPr>
        <w:tc>
          <w:tcPr>
            <w:tcW w:w="42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</w:rPr>
              <w:t>一、社会保障和就业支出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82"/>
        </w:trPr>
        <w:tc>
          <w:tcPr>
            <w:tcW w:w="42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328"/>
        </w:trPr>
        <w:tc>
          <w:tcPr>
            <w:tcW w:w="42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</w:rPr>
              <w:t>国有资本经营预算补充社保基金支出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82"/>
        </w:trPr>
        <w:tc>
          <w:tcPr>
            <w:tcW w:w="42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328"/>
        </w:trPr>
        <w:tc>
          <w:tcPr>
            <w:tcW w:w="42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</w:rPr>
              <w:t>二、国有资本经营预算支出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81"/>
        </w:trPr>
        <w:tc>
          <w:tcPr>
            <w:tcW w:w="42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328"/>
        </w:trPr>
        <w:tc>
          <w:tcPr>
            <w:tcW w:w="42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</w:rPr>
              <w:t>解决历史遗留问题及改革成本支出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 w:rsidP="00FA216F">
            <w:pPr>
              <w:spacing w:line="251" w:lineRule="exact"/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82"/>
        </w:trPr>
        <w:tc>
          <w:tcPr>
            <w:tcW w:w="42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328"/>
        </w:trPr>
        <w:tc>
          <w:tcPr>
            <w:tcW w:w="42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</w:rPr>
              <w:t>国有企业办公共服务机构移交补助支出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82"/>
        </w:trPr>
        <w:tc>
          <w:tcPr>
            <w:tcW w:w="42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327"/>
        </w:trPr>
        <w:tc>
          <w:tcPr>
            <w:tcW w:w="42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</w:rPr>
              <w:t>国有企业退休人员社会化管理补助支出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82"/>
        </w:trPr>
        <w:tc>
          <w:tcPr>
            <w:tcW w:w="42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328"/>
        </w:trPr>
        <w:tc>
          <w:tcPr>
            <w:tcW w:w="42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</w:rPr>
              <w:t>国有企业改革成本支出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82"/>
        </w:trPr>
        <w:tc>
          <w:tcPr>
            <w:tcW w:w="42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328"/>
        </w:trPr>
        <w:tc>
          <w:tcPr>
            <w:tcW w:w="42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</w:rPr>
              <w:t>离休干部医药费补助支出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81"/>
        </w:trPr>
        <w:tc>
          <w:tcPr>
            <w:tcW w:w="42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328"/>
        </w:trPr>
        <w:tc>
          <w:tcPr>
            <w:tcW w:w="42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</w:rPr>
              <w:t>其他解决历史遗留问题及改革成本支出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82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328"/>
        </w:trPr>
        <w:tc>
          <w:tcPr>
            <w:tcW w:w="2100" w:type="dxa"/>
            <w:tcBorders>
              <w:lef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</w:rPr>
              <w:t>国有企业资本金注入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82"/>
        </w:trPr>
        <w:tc>
          <w:tcPr>
            <w:tcW w:w="42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327"/>
        </w:trPr>
        <w:tc>
          <w:tcPr>
            <w:tcW w:w="42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</w:rPr>
              <w:t>国有经济结构调整支出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82"/>
        </w:trPr>
        <w:tc>
          <w:tcPr>
            <w:tcW w:w="42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328"/>
        </w:trPr>
        <w:tc>
          <w:tcPr>
            <w:tcW w:w="42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</w:rPr>
              <w:t>公益性设施投资支出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82"/>
        </w:trPr>
        <w:tc>
          <w:tcPr>
            <w:tcW w:w="42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328"/>
        </w:trPr>
        <w:tc>
          <w:tcPr>
            <w:tcW w:w="42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</w:rPr>
              <w:t>前瞻性战略性产业发展支出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81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328"/>
        </w:trPr>
        <w:tc>
          <w:tcPr>
            <w:tcW w:w="2100" w:type="dxa"/>
            <w:tcBorders>
              <w:lef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</w:rPr>
              <w:t>生态环境保护支出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82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328"/>
        </w:trPr>
        <w:tc>
          <w:tcPr>
            <w:tcW w:w="2100" w:type="dxa"/>
            <w:tcBorders>
              <w:lef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</w:rPr>
              <w:t>支持科技进步支出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82"/>
        </w:trPr>
        <w:tc>
          <w:tcPr>
            <w:tcW w:w="42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327"/>
        </w:trPr>
        <w:tc>
          <w:tcPr>
            <w:tcW w:w="42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</w:rPr>
              <w:t>保障国家经济安全支出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82"/>
        </w:trPr>
        <w:tc>
          <w:tcPr>
            <w:tcW w:w="42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328"/>
        </w:trPr>
        <w:tc>
          <w:tcPr>
            <w:tcW w:w="42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</w:rPr>
              <w:t>其他国有企业资本金注入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82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328"/>
        </w:trPr>
        <w:tc>
          <w:tcPr>
            <w:tcW w:w="2100" w:type="dxa"/>
            <w:tcBorders>
              <w:lef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</w:rPr>
              <w:t>国有企业政策性补贴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81"/>
        </w:trPr>
        <w:tc>
          <w:tcPr>
            <w:tcW w:w="42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328"/>
        </w:trPr>
        <w:tc>
          <w:tcPr>
            <w:tcW w:w="42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</w:rPr>
              <w:t>国有企业政策性补贴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82"/>
        </w:trPr>
        <w:tc>
          <w:tcPr>
            <w:tcW w:w="42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328"/>
        </w:trPr>
        <w:tc>
          <w:tcPr>
            <w:tcW w:w="42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</w:rPr>
              <w:t>金融国有资本经营预算支出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82"/>
        </w:trPr>
        <w:tc>
          <w:tcPr>
            <w:tcW w:w="42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327"/>
        </w:trPr>
        <w:tc>
          <w:tcPr>
            <w:tcW w:w="42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</w:rPr>
              <w:t>其他国有资本经营预算支出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82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332"/>
        </w:trPr>
        <w:tc>
          <w:tcPr>
            <w:tcW w:w="2100" w:type="dxa"/>
            <w:tcBorders>
              <w:lef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三、转移性支出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78"/>
        </w:trPr>
        <w:tc>
          <w:tcPr>
            <w:tcW w:w="42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6"/>
                <w:szCs w:val="6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6"/>
                <w:szCs w:val="6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6"/>
                <w:szCs w:val="6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6"/>
                <w:szCs w:val="6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328"/>
        </w:trPr>
        <w:tc>
          <w:tcPr>
            <w:tcW w:w="42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</w:rPr>
              <w:t>国有资本经营预算转移支付支出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81"/>
        </w:trPr>
        <w:tc>
          <w:tcPr>
            <w:tcW w:w="42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328"/>
        </w:trPr>
        <w:tc>
          <w:tcPr>
            <w:tcW w:w="42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</w:rPr>
              <w:t>国有资本经营预算调出资金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82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328"/>
        </w:trPr>
        <w:tc>
          <w:tcPr>
            <w:tcW w:w="2100" w:type="dxa"/>
            <w:tcBorders>
              <w:lef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ind w:left="160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</w:rPr>
              <w:t>合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</w:rPr>
              <w:t>计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82"/>
        </w:trPr>
        <w:tc>
          <w:tcPr>
            <w:tcW w:w="42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327"/>
        </w:trPr>
        <w:tc>
          <w:tcPr>
            <w:tcW w:w="42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w w:val="99"/>
              </w:rPr>
              <w:t>结转下年支出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82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328"/>
        </w:trPr>
        <w:tc>
          <w:tcPr>
            <w:tcW w:w="2100" w:type="dxa"/>
            <w:tcBorders>
              <w:lef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ind w:left="136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</w:rPr>
              <w:t>总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</w:rPr>
              <w:t>计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>
        <w:trPr>
          <w:trHeight w:val="82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</w:tbl>
    <w:p w:rsidR="004E7C6A" w:rsidRDefault="004E7C6A">
      <w:pPr>
        <w:sectPr w:rsidR="004E7C6A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0" w:h="16837"/>
          <w:pgMar w:top="1224" w:right="825" w:bottom="1440" w:left="800" w:header="0" w:footer="0" w:gutter="0"/>
          <w:cols w:space="720" w:equalWidth="0">
            <w:col w:w="10280"/>
          </w:cols>
        </w:sectPr>
      </w:pPr>
    </w:p>
    <w:p w:rsidR="004E7C6A" w:rsidRDefault="004E7C6A">
      <w:pPr>
        <w:spacing w:line="400" w:lineRule="exact"/>
        <w:ind w:right="-19"/>
        <w:jc w:val="center"/>
        <w:rPr>
          <w:sz w:val="20"/>
          <w:szCs w:val="20"/>
        </w:rPr>
      </w:pPr>
      <w:bookmarkStart w:id="1" w:name="page2"/>
      <w:bookmarkEnd w:id="1"/>
      <w:r>
        <w:rPr>
          <w:rFonts w:ascii="Arial" w:eastAsia="Times New Roman" w:hAnsi="Arial" w:cs="Arial"/>
          <w:b/>
          <w:bCs/>
          <w:sz w:val="33"/>
          <w:szCs w:val="33"/>
        </w:rPr>
        <w:t>2017</w:t>
      </w:r>
      <w:r>
        <w:rPr>
          <w:rFonts w:ascii="宋体" w:hAnsi="宋体" w:cs="宋体" w:hint="eastAsia"/>
          <w:b/>
          <w:bCs/>
          <w:sz w:val="33"/>
          <w:szCs w:val="33"/>
        </w:rPr>
        <w:t>年大余县国有资本经营预算收入决算表</w:t>
      </w:r>
    </w:p>
    <w:p w:rsidR="004E7C6A" w:rsidRDefault="004E7C6A">
      <w:pPr>
        <w:spacing w:line="112" w:lineRule="exact"/>
        <w:rPr>
          <w:sz w:val="20"/>
          <w:szCs w:val="20"/>
        </w:rPr>
      </w:pPr>
    </w:p>
    <w:tbl>
      <w:tblPr>
        <w:tblW w:w="9910" w:type="dxa"/>
        <w:tblInd w:w="10" w:type="dxa"/>
        <w:tblLayout w:type="fixed"/>
        <w:tblCellMar>
          <w:left w:w="0" w:type="dxa"/>
          <w:right w:w="0" w:type="dxa"/>
        </w:tblCellMar>
        <w:tblLook w:val="00A0"/>
      </w:tblPr>
      <w:tblGrid>
        <w:gridCol w:w="4420"/>
        <w:gridCol w:w="1000"/>
        <w:gridCol w:w="1000"/>
        <w:gridCol w:w="1020"/>
        <w:gridCol w:w="1140"/>
        <w:gridCol w:w="1300"/>
        <w:gridCol w:w="30"/>
      </w:tblGrid>
      <w:tr w:rsidR="004E7C6A" w:rsidRPr="007D1C0B" w:rsidTr="000B3636">
        <w:trPr>
          <w:trHeight w:val="237"/>
        </w:trPr>
        <w:tc>
          <w:tcPr>
            <w:tcW w:w="4420" w:type="dxa"/>
            <w:tcBorders>
              <w:bottom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ind w:left="26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w w:val="99"/>
                <w:sz w:val="20"/>
                <w:szCs w:val="20"/>
              </w:rPr>
              <w:t>单位：万元</w:t>
            </w: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420"/>
        </w:trPr>
        <w:tc>
          <w:tcPr>
            <w:tcW w:w="44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w w:val="99"/>
                <w:sz w:val="20"/>
                <w:szCs w:val="20"/>
              </w:rPr>
              <w:t>预算科目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0"/>
                <w:szCs w:val="20"/>
              </w:rPr>
              <w:t>2016</w:t>
            </w:r>
            <w:r>
              <w:rPr>
                <w:rFonts w:ascii="宋体" w:hAnsi="宋体" w:cs="宋体" w:hint="eastAsia"/>
                <w:w w:val="99"/>
                <w:sz w:val="20"/>
                <w:szCs w:val="20"/>
              </w:rPr>
              <w:t>年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0"/>
                <w:szCs w:val="20"/>
              </w:rPr>
              <w:t>2017</w:t>
            </w:r>
            <w:r>
              <w:rPr>
                <w:rFonts w:ascii="宋体" w:hAnsi="宋体" w:cs="宋体" w:hint="eastAsia"/>
                <w:w w:val="99"/>
                <w:sz w:val="20"/>
                <w:szCs w:val="20"/>
              </w:rPr>
              <w:t>年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/>
                <w:w w:val="99"/>
                <w:sz w:val="20"/>
                <w:szCs w:val="20"/>
              </w:rPr>
              <w:t>2017</w:t>
            </w:r>
            <w:r>
              <w:rPr>
                <w:rFonts w:ascii="宋体" w:hAnsi="宋体" w:cs="宋体" w:hint="eastAsia"/>
                <w:w w:val="99"/>
                <w:sz w:val="20"/>
                <w:szCs w:val="20"/>
              </w:rPr>
              <w:t>年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w w:val="99"/>
                <w:sz w:val="20"/>
                <w:szCs w:val="20"/>
              </w:rPr>
              <w:t>决算数是预</w:t>
            </w: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决算数是上年</w:t>
            </w: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125"/>
        </w:trPr>
        <w:tc>
          <w:tcPr>
            <w:tcW w:w="44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10"/>
                <w:szCs w:val="10"/>
              </w:rPr>
            </w:pPr>
          </w:p>
        </w:tc>
        <w:tc>
          <w:tcPr>
            <w:tcW w:w="1000" w:type="dxa"/>
            <w:vMerge w:val="restart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决算数</w:t>
            </w:r>
          </w:p>
        </w:tc>
        <w:tc>
          <w:tcPr>
            <w:tcW w:w="1000" w:type="dxa"/>
            <w:vMerge w:val="restart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w w:val="99"/>
                <w:sz w:val="20"/>
                <w:szCs w:val="20"/>
              </w:rPr>
              <w:t>预算数</w:t>
            </w:r>
          </w:p>
        </w:tc>
        <w:tc>
          <w:tcPr>
            <w:tcW w:w="1020" w:type="dxa"/>
            <w:vMerge w:val="restart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w w:val="99"/>
                <w:sz w:val="20"/>
                <w:szCs w:val="20"/>
              </w:rPr>
              <w:t>决算数</w:t>
            </w:r>
          </w:p>
        </w:tc>
        <w:tc>
          <w:tcPr>
            <w:tcW w:w="1140" w:type="dxa"/>
            <w:vMerge w:val="restart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算数的</w:t>
            </w:r>
            <w:r>
              <w:rPr>
                <w:rFonts w:ascii="宋体" w:hAnsi="宋体" w:cs="宋体"/>
                <w:sz w:val="20"/>
                <w:szCs w:val="20"/>
              </w:rPr>
              <w:t>%</w:t>
            </w:r>
          </w:p>
        </w:tc>
        <w:tc>
          <w:tcPr>
            <w:tcW w:w="1300" w:type="dxa"/>
            <w:vMerge w:val="restart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w w:val="99"/>
                <w:sz w:val="20"/>
                <w:szCs w:val="20"/>
              </w:rPr>
              <w:t>决算数的</w:t>
            </w:r>
            <w:r>
              <w:rPr>
                <w:rFonts w:ascii="宋体" w:hAnsi="宋体" w:cs="宋体"/>
                <w:w w:val="99"/>
                <w:sz w:val="20"/>
                <w:szCs w:val="20"/>
              </w:rPr>
              <w:t>%</w:t>
            </w: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124"/>
        </w:trPr>
        <w:tc>
          <w:tcPr>
            <w:tcW w:w="4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10"/>
                <w:szCs w:val="10"/>
              </w:rPr>
            </w:pPr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10"/>
                <w:szCs w:val="10"/>
              </w:rPr>
            </w:pPr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10"/>
                <w:szCs w:val="10"/>
              </w:rPr>
            </w:pPr>
          </w:p>
        </w:tc>
        <w:tc>
          <w:tcPr>
            <w:tcW w:w="1020" w:type="dxa"/>
            <w:vMerge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10"/>
                <w:szCs w:val="10"/>
              </w:rPr>
            </w:pPr>
          </w:p>
        </w:tc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10"/>
                <w:szCs w:val="10"/>
              </w:rPr>
            </w:pPr>
          </w:p>
        </w:tc>
        <w:tc>
          <w:tcPr>
            <w:tcW w:w="1300" w:type="dxa"/>
            <w:vMerge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192"/>
        </w:trPr>
        <w:tc>
          <w:tcPr>
            <w:tcW w:w="4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16"/>
                <w:szCs w:val="16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16"/>
                <w:szCs w:val="1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16"/>
                <w:szCs w:val="1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16"/>
                <w:szCs w:val="16"/>
              </w:rPr>
            </w:pP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309"/>
        </w:trPr>
        <w:tc>
          <w:tcPr>
            <w:tcW w:w="4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sz w:val="20"/>
                <w:szCs w:val="20"/>
              </w:rPr>
              <w:t>一、利润收入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84"/>
        </w:trPr>
        <w:tc>
          <w:tcPr>
            <w:tcW w:w="4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309"/>
        </w:trPr>
        <w:tc>
          <w:tcPr>
            <w:tcW w:w="4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sz w:val="20"/>
                <w:szCs w:val="20"/>
              </w:rPr>
              <w:t>、投资服务企业利润收入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84"/>
        </w:trPr>
        <w:tc>
          <w:tcPr>
            <w:tcW w:w="4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308"/>
        </w:trPr>
        <w:tc>
          <w:tcPr>
            <w:tcW w:w="4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</w:t>
            </w:r>
            <w:r>
              <w:rPr>
                <w:rFonts w:ascii="宋体" w:hAnsi="宋体" w:cs="宋体" w:hint="eastAsia"/>
                <w:sz w:val="20"/>
                <w:szCs w:val="20"/>
              </w:rPr>
              <w:t>、房地产企业利润收入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84"/>
        </w:trPr>
        <w:tc>
          <w:tcPr>
            <w:tcW w:w="4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309"/>
        </w:trPr>
        <w:tc>
          <w:tcPr>
            <w:tcW w:w="4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</w:t>
            </w:r>
            <w:r>
              <w:rPr>
                <w:rFonts w:ascii="宋体" w:hAnsi="宋体" w:cs="宋体" w:hint="eastAsia"/>
                <w:sz w:val="20"/>
                <w:szCs w:val="20"/>
              </w:rPr>
              <w:t>、旅游企业利润收入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84"/>
        </w:trPr>
        <w:tc>
          <w:tcPr>
            <w:tcW w:w="4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309"/>
        </w:trPr>
        <w:tc>
          <w:tcPr>
            <w:tcW w:w="4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</w:t>
            </w:r>
            <w:r>
              <w:rPr>
                <w:rFonts w:ascii="宋体" w:hAnsi="宋体" w:cs="宋体" w:hint="eastAsia"/>
                <w:sz w:val="20"/>
                <w:szCs w:val="20"/>
              </w:rPr>
              <w:t>、农林牧渔企业利润收入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84"/>
        </w:trPr>
        <w:tc>
          <w:tcPr>
            <w:tcW w:w="4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309"/>
        </w:trPr>
        <w:tc>
          <w:tcPr>
            <w:tcW w:w="4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5</w:t>
            </w:r>
            <w:r>
              <w:rPr>
                <w:rFonts w:ascii="宋体" w:hAnsi="宋体" w:cs="宋体" w:hint="eastAsia"/>
                <w:sz w:val="20"/>
                <w:szCs w:val="20"/>
              </w:rPr>
              <w:t>、其他国有资本经营预算企业利润收入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84"/>
        </w:trPr>
        <w:tc>
          <w:tcPr>
            <w:tcW w:w="4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309"/>
        </w:trPr>
        <w:tc>
          <w:tcPr>
            <w:tcW w:w="4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sz w:val="20"/>
                <w:szCs w:val="20"/>
              </w:rPr>
              <w:t>二、股利、股息收入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83"/>
        </w:trPr>
        <w:tc>
          <w:tcPr>
            <w:tcW w:w="4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309"/>
        </w:trPr>
        <w:tc>
          <w:tcPr>
            <w:tcW w:w="4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国有控股公司股利、股息收入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84"/>
        </w:trPr>
        <w:tc>
          <w:tcPr>
            <w:tcW w:w="4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309"/>
        </w:trPr>
        <w:tc>
          <w:tcPr>
            <w:tcW w:w="4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国有参股公司股利、股息收入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84"/>
        </w:trPr>
        <w:tc>
          <w:tcPr>
            <w:tcW w:w="4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309"/>
        </w:trPr>
        <w:tc>
          <w:tcPr>
            <w:tcW w:w="4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ind w:left="24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金融企业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84"/>
        </w:trPr>
        <w:tc>
          <w:tcPr>
            <w:tcW w:w="4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309"/>
        </w:trPr>
        <w:tc>
          <w:tcPr>
            <w:tcW w:w="4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sz w:val="20"/>
                <w:szCs w:val="20"/>
              </w:rPr>
              <w:t>三、产权转让收入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84"/>
        </w:trPr>
        <w:tc>
          <w:tcPr>
            <w:tcW w:w="4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309"/>
        </w:trPr>
        <w:tc>
          <w:tcPr>
            <w:tcW w:w="4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国有股权、股份转让收入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84"/>
        </w:trPr>
        <w:tc>
          <w:tcPr>
            <w:tcW w:w="4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309"/>
        </w:trPr>
        <w:tc>
          <w:tcPr>
            <w:tcW w:w="4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sz w:val="20"/>
                <w:szCs w:val="20"/>
              </w:rPr>
              <w:t>四、清算收入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84"/>
        </w:trPr>
        <w:tc>
          <w:tcPr>
            <w:tcW w:w="4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309"/>
        </w:trPr>
        <w:tc>
          <w:tcPr>
            <w:tcW w:w="4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sz w:val="20"/>
                <w:szCs w:val="20"/>
              </w:rPr>
              <w:t>五、其他国有资本经营预算收入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84"/>
        </w:trPr>
        <w:tc>
          <w:tcPr>
            <w:tcW w:w="4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308"/>
        </w:trPr>
        <w:tc>
          <w:tcPr>
            <w:tcW w:w="4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w w:val="99"/>
                <w:sz w:val="20"/>
                <w:szCs w:val="20"/>
              </w:rPr>
              <w:t>合计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84"/>
        </w:trPr>
        <w:tc>
          <w:tcPr>
            <w:tcW w:w="4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7"/>
                <w:szCs w:val="7"/>
              </w:rPr>
            </w:pP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318"/>
        </w:trPr>
        <w:tc>
          <w:tcPr>
            <w:tcW w:w="4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加：上年结转收入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51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75"/>
        </w:trPr>
        <w:tc>
          <w:tcPr>
            <w:tcW w:w="4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6"/>
                <w:szCs w:val="6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6"/>
                <w:szCs w:val="6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6"/>
                <w:szCs w:val="6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  <w:tr w:rsidR="004E7C6A" w:rsidRPr="007D1C0B" w:rsidTr="000B3636">
        <w:trPr>
          <w:trHeight w:val="309"/>
        </w:trPr>
        <w:tc>
          <w:tcPr>
            <w:tcW w:w="4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w w:val="99"/>
                <w:sz w:val="20"/>
                <w:szCs w:val="20"/>
              </w:rPr>
              <w:t>总计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4E7C6A" w:rsidRPr="007D1C0B" w:rsidRDefault="004E7C6A">
            <w:pPr>
              <w:spacing w:line="229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4E7C6A" w:rsidRPr="007D1C0B" w:rsidRDefault="004E7C6A">
            <w:pPr>
              <w:rPr>
                <w:sz w:val="2"/>
                <w:szCs w:val="2"/>
              </w:rPr>
            </w:pPr>
          </w:p>
        </w:tc>
      </w:tr>
    </w:tbl>
    <w:p w:rsidR="004E7C6A" w:rsidRPr="004F3ADB" w:rsidRDefault="004E7C6A" w:rsidP="004F3ADB">
      <w:pPr>
        <w:tabs>
          <w:tab w:val="left" w:pos="2580"/>
        </w:tabs>
        <w:rPr>
          <w:b/>
          <w:sz w:val="28"/>
          <w:szCs w:val="28"/>
        </w:rPr>
      </w:pPr>
      <w:r w:rsidRPr="004F3ADB">
        <w:rPr>
          <w:rFonts w:hint="eastAsia"/>
          <w:b/>
          <w:sz w:val="28"/>
          <w:szCs w:val="28"/>
        </w:rPr>
        <w:t>备注</w:t>
      </w:r>
      <w:r w:rsidRPr="004F3ADB">
        <w:rPr>
          <w:b/>
          <w:sz w:val="28"/>
          <w:szCs w:val="28"/>
        </w:rPr>
        <w:t>:</w:t>
      </w:r>
      <w:r w:rsidRPr="004F3ADB">
        <w:rPr>
          <w:rFonts w:hint="eastAsia"/>
          <w:b/>
          <w:sz w:val="28"/>
          <w:szCs w:val="28"/>
        </w:rPr>
        <w:t>因我县</w:t>
      </w:r>
      <w:r w:rsidRPr="004F3ADB">
        <w:rPr>
          <w:b/>
          <w:sz w:val="28"/>
          <w:szCs w:val="28"/>
        </w:rPr>
        <w:t>2017</w:t>
      </w:r>
      <w:r w:rsidRPr="004F3ADB">
        <w:rPr>
          <w:rFonts w:hint="eastAsia"/>
          <w:b/>
          <w:sz w:val="28"/>
          <w:szCs w:val="28"/>
        </w:rPr>
        <w:t>年没有国有资本经营收支</w:t>
      </w:r>
      <w:r>
        <w:rPr>
          <w:rFonts w:hint="eastAsia"/>
          <w:b/>
          <w:sz w:val="28"/>
          <w:szCs w:val="28"/>
        </w:rPr>
        <w:t>数据</w:t>
      </w:r>
      <w:r w:rsidRPr="004F3ADB">
        <w:rPr>
          <w:rFonts w:hint="eastAsia"/>
          <w:b/>
          <w:sz w:val="28"/>
          <w:szCs w:val="28"/>
        </w:rPr>
        <w:t>，所以为空表。</w:t>
      </w:r>
    </w:p>
    <w:sectPr w:rsidR="004E7C6A" w:rsidRPr="004F3ADB" w:rsidSect="009F283C">
      <w:pgSz w:w="11900" w:h="16837"/>
      <w:pgMar w:top="1213" w:right="1025" w:bottom="1440" w:left="1000" w:header="0" w:footer="0" w:gutter="0"/>
      <w:cols w:space="720" w:equalWidth="0">
        <w:col w:w="9880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7C6A" w:rsidRDefault="004E7C6A">
      <w:r>
        <w:separator/>
      </w:r>
    </w:p>
  </w:endnote>
  <w:endnote w:type="continuationSeparator" w:id="0">
    <w:p w:rsidR="004E7C6A" w:rsidRDefault="004E7C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7C6A" w:rsidRDefault="004E7C6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7C6A" w:rsidRDefault="004E7C6A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7C6A" w:rsidRDefault="004E7C6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7C6A" w:rsidRDefault="004E7C6A">
      <w:r>
        <w:separator/>
      </w:r>
    </w:p>
  </w:footnote>
  <w:footnote w:type="continuationSeparator" w:id="0">
    <w:p w:rsidR="004E7C6A" w:rsidRDefault="004E7C6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7C6A" w:rsidRDefault="004E7C6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7C6A" w:rsidRDefault="004E7C6A" w:rsidP="00FA5CE7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7C6A" w:rsidRDefault="004E7C6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F283C"/>
    <w:rsid w:val="0002709B"/>
    <w:rsid w:val="000B3636"/>
    <w:rsid w:val="004E7C6A"/>
    <w:rsid w:val="004F3ADB"/>
    <w:rsid w:val="0050647A"/>
    <w:rsid w:val="007D1C0B"/>
    <w:rsid w:val="00845122"/>
    <w:rsid w:val="009E6869"/>
    <w:rsid w:val="009F283C"/>
    <w:rsid w:val="00FA216F"/>
    <w:rsid w:val="00FA5CE7"/>
    <w:rsid w:val="00FC2A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283C"/>
    <w:rPr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A5C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7D6EB7"/>
    <w:rPr>
      <w:kern w:val="0"/>
      <w:sz w:val="18"/>
      <w:szCs w:val="18"/>
    </w:rPr>
  </w:style>
  <w:style w:type="paragraph" w:styleId="Footer">
    <w:name w:val="footer"/>
    <w:basedOn w:val="Normal"/>
    <w:link w:val="FooterChar"/>
    <w:uiPriority w:val="99"/>
    <w:rsid w:val="00FA5CE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7D6EB7"/>
    <w:rPr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</TotalTime>
  <Pages>2</Pages>
  <Words>213</Words>
  <Characters>1215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wimxt.com</cp:lastModifiedBy>
  <cp:revision>6</cp:revision>
  <dcterms:created xsi:type="dcterms:W3CDTF">2018-09-26T10:02:00Z</dcterms:created>
  <dcterms:modified xsi:type="dcterms:W3CDTF">2018-10-16T07:54:00Z</dcterms:modified>
</cp:coreProperties>
</file>