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A37EED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2"/>
          <w:szCs w:val="32"/>
          <w:lang w:val="en-US" w:eastAsia="zh-CN" w:bidi="ar-SA"/>
        </w:rPr>
        <w:t>2025年1-2月大余县主要经济指标完成情况</w:t>
      </w:r>
    </w:p>
    <w:p w14:paraId="22844516"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 w:firstLine="0"/>
        <w:jc w:val="both"/>
        <w:rPr>
          <w:rFonts w:hint="eastAsia" w:ascii="仿宋" w:hAnsi="仿宋" w:eastAsia="仿宋" w:cs="仿宋"/>
          <w:b/>
          <w:bCs/>
          <w:color w:val="545454"/>
          <w:sz w:val="32"/>
          <w:szCs w:val="32"/>
          <w:shd w:val="clear" w:fill="FFFFFF"/>
        </w:rPr>
      </w:pPr>
    </w:p>
    <w:p w14:paraId="56461F89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2"/>
          <w:szCs w:val="32"/>
          <w:lang w:val="en-US" w:eastAsia="zh-CN" w:bidi="ar-SA"/>
        </w:rPr>
        <w:t>2025年1-2月大余县主要经济指标</w:t>
      </w:r>
    </w:p>
    <w:tbl>
      <w:tblPr>
        <w:tblStyle w:val="6"/>
        <w:tblW w:w="1020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68"/>
        <w:gridCol w:w="1918"/>
        <w:gridCol w:w="2127"/>
        <w:gridCol w:w="2692"/>
      </w:tblGrid>
      <w:tr w14:paraId="7A3F03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3" w:hRule="atLeast"/>
          <w:jc w:val="center"/>
        </w:trPr>
        <w:tc>
          <w:tcPr>
            <w:tcW w:w="2268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7DC826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8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指  标</w:t>
            </w:r>
          </w:p>
        </w:tc>
        <w:tc>
          <w:tcPr>
            <w:tcW w:w="1254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606F0D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8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单位</w:t>
            </w:r>
          </w:p>
        </w:tc>
        <w:tc>
          <w:tcPr>
            <w:tcW w:w="1391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6602C6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8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指标值</w:t>
            </w:r>
          </w:p>
        </w:tc>
        <w:tc>
          <w:tcPr>
            <w:tcW w:w="1760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42A41D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28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增速(%)</w:t>
            </w:r>
          </w:p>
        </w:tc>
      </w:tr>
      <w:tr w14:paraId="0AA95D1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1AA06B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规模以上工业增加值</w:t>
            </w:r>
          </w:p>
        </w:tc>
        <w:tc>
          <w:tcPr>
            <w:tcW w:w="125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123C4DA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%</w:t>
            </w:r>
          </w:p>
        </w:tc>
        <w:tc>
          <w:tcPr>
            <w:tcW w:w="139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7B3E93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—</w:t>
            </w:r>
          </w:p>
        </w:tc>
        <w:tc>
          <w:tcPr>
            <w:tcW w:w="176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7A4D46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8.7</w:t>
            </w:r>
          </w:p>
        </w:tc>
      </w:tr>
      <w:tr w14:paraId="3B502AB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5AFC89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固定资产投资</w:t>
            </w:r>
          </w:p>
        </w:tc>
        <w:tc>
          <w:tcPr>
            <w:tcW w:w="125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4D2197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%</w:t>
            </w:r>
          </w:p>
        </w:tc>
        <w:tc>
          <w:tcPr>
            <w:tcW w:w="139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2A5326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—</w:t>
            </w:r>
          </w:p>
        </w:tc>
        <w:tc>
          <w:tcPr>
            <w:tcW w:w="176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0FC957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10.2</w:t>
            </w:r>
          </w:p>
        </w:tc>
      </w:tr>
      <w:tr w14:paraId="6097A5B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63C8C1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 w:firstLine="20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#工业投资</w:t>
            </w:r>
          </w:p>
        </w:tc>
        <w:tc>
          <w:tcPr>
            <w:tcW w:w="125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0C617B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%</w:t>
            </w:r>
          </w:p>
        </w:tc>
        <w:tc>
          <w:tcPr>
            <w:tcW w:w="139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3DB567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—</w:t>
            </w:r>
          </w:p>
        </w:tc>
        <w:tc>
          <w:tcPr>
            <w:tcW w:w="176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189D75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45.7</w:t>
            </w:r>
          </w:p>
        </w:tc>
      </w:tr>
      <w:tr w14:paraId="01EBBEC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22DDEF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限额以上消费品零售额</w:t>
            </w:r>
          </w:p>
        </w:tc>
        <w:tc>
          <w:tcPr>
            <w:tcW w:w="125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39B0FC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亿元</w:t>
            </w:r>
          </w:p>
        </w:tc>
        <w:tc>
          <w:tcPr>
            <w:tcW w:w="139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2F4F57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2.01</w:t>
            </w:r>
          </w:p>
        </w:tc>
        <w:tc>
          <w:tcPr>
            <w:tcW w:w="176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7F8D87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10.1</w:t>
            </w:r>
          </w:p>
        </w:tc>
      </w:tr>
      <w:tr w14:paraId="1FF7D50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6272E4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一般公共预算收入</w:t>
            </w:r>
          </w:p>
        </w:tc>
        <w:tc>
          <w:tcPr>
            <w:tcW w:w="125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13D75E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亿元</w:t>
            </w:r>
          </w:p>
        </w:tc>
        <w:tc>
          <w:tcPr>
            <w:tcW w:w="139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144EE8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2.27</w:t>
            </w:r>
          </w:p>
        </w:tc>
        <w:tc>
          <w:tcPr>
            <w:tcW w:w="176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4D9C06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1.0</w:t>
            </w:r>
          </w:p>
        </w:tc>
      </w:tr>
      <w:tr w14:paraId="4D7F0D2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11C58B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地方税收收入</w:t>
            </w:r>
          </w:p>
        </w:tc>
        <w:tc>
          <w:tcPr>
            <w:tcW w:w="125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266E19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亿元</w:t>
            </w:r>
          </w:p>
        </w:tc>
        <w:tc>
          <w:tcPr>
            <w:tcW w:w="139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51A076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1.09</w:t>
            </w:r>
          </w:p>
        </w:tc>
        <w:tc>
          <w:tcPr>
            <w:tcW w:w="176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24FDA4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6.4</w:t>
            </w:r>
          </w:p>
        </w:tc>
      </w:tr>
      <w:tr w14:paraId="5DABE6D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65CB43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一般公共预算支出</w:t>
            </w:r>
          </w:p>
        </w:tc>
        <w:tc>
          <w:tcPr>
            <w:tcW w:w="125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6F576E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亿元</w:t>
            </w:r>
          </w:p>
        </w:tc>
        <w:tc>
          <w:tcPr>
            <w:tcW w:w="139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22B835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5.97</w:t>
            </w:r>
          </w:p>
        </w:tc>
        <w:tc>
          <w:tcPr>
            <w:tcW w:w="176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013BD4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25.7</w:t>
            </w:r>
          </w:p>
        </w:tc>
      </w:tr>
      <w:tr w14:paraId="61400BE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73308F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实际使用外资</w:t>
            </w:r>
          </w:p>
        </w:tc>
        <w:tc>
          <w:tcPr>
            <w:tcW w:w="125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3D550C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万美元</w:t>
            </w:r>
          </w:p>
        </w:tc>
        <w:tc>
          <w:tcPr>
            <w:tcW w:w="139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7CEB0D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120</w:t>
            </w:r>
          </w:p>
        </w:tc>
        <w:tc>
          <w:tcPr>
            <w:tcW w:w="176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79ED88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13.2</w:t>
            </w:r>
          </w:p>
        </w:tc>
      </w:tr>
      <w:tr w14:paraId="6641B4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74416F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利用省外亿元以上项目资金</w:t>
            </w:r>
          </w:p>
        </w:tc>
        <w:tc>
          <w:tcPr>
            <w:tcW w:w="125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1BAEBB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亿元</w:t>
            </w:r>
          </w:p>
        </w:tc>
        <w:tc>
          <w:tcPr>
            <w:tcW w:w="139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1A34DE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2.00</w:t>
            </w:r>
          </w:p>
        </w:tc>
        <w:tc>
          <w:tcPr>
            <w:tcW w:w="176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4A2286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新口径，无同比增速</w:t>
            </w:r>
          </w:p>
        </w:tc>
      </w:tr>
      <w:tr w14:paraId="63A75DD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36D945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进出口总额</w:t>
            </w:r>
          </w:p>
        </w:tc>
        <w:tc>
          <w:tcPr>
            <w:tcW w:w="125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6DA4D5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亿元</w:t>
            </w:r>
          </w:p>
        </w:tc>
        <w:tc>
          <w:tcPr>
            <w:tcW w:w="139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40280C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0.6</w:t>
            </w:r>
          </w:p>
        </w:tc>
        <w:tc>
          <w:tcPr>
            <w:tcW w:w="176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0E5C21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-49.0</w:t>
            </w:r>
          </w:p>
        </w:tc>
      </w:tr>
      <w:tr w14:paraId="3ED0A0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3B7251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全社会用电量</w:t>
            </w:r>
          </w:p>
        </w:tc>
        <w:tc>
          <w:tcPr>
            <w:tcW w:w="125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086FA2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亿千瓦时</w:t>
            </w:r>
          </w:p>
        </w:tc>
        <w:tc>
          <w:tcPr>
            <w:tcW w:w="139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1F6336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1.36</w:t>
            </w:r>
          </w:p>
        </w:tc>
        <w:tc>
          <w:tcPr>
            <w:tcW w:w="176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2AA3F4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4.1</w:t>
            </w:r>
          </w:p>
        </w:tc>
      </w:tr>
      <w:tr w14:paraId="3A53556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4BA1D6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工业用电量</w:t>
            </w:r>
          </w:p>
        </w:tc>
        <w:tc>
          <w:tcPr>
            <w:tcW w:w="125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4CDCC0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 w:line="300" w:lineRule="atLeas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亿千瓦时</w:t>
            </w:r>
          </w:p>
        </w:tc>
        <w:tc>
          <w:tcPr>
            <w:tcW w:w="139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2F9EE3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0.63</w:t>
            </w:r>
          </w:p>
        </w:tc>
        <w:tc>
          <w:tcPr>
            <w:tcW w:w="176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6C5365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11.3</w:t>
            </w:r>
          </w:p>
        </w:tc>
      </w:tr>
      <w:tr w14:paraId="4A04196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6D5EF0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金融机构本外币各项存款余额</w:t>
            </w:r>
          </w:p>
        </w:tc>
        <w:tc>
          <w:tcPr>
            <w:tcW w:w="125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709A92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亿元</w:t>
            </w:r>
          </w:p>
        </w:tc>
        <w:tc>
          <w:tcPr>
            <w:tcW w:w="139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47A0ED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233.32</w:t>
            </w:r>
          </w:p>
        </w:tc>
        <w:tc>
          <w:tcPr>
            <w:tcW w:w="176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3BCAB0A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12.9</w:t>
            </w:r>
          </w:p>
        </w:tc>
      </w:tr>
      <w:tr w14:paraId="7F2474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  <w:jc w:val="center"/>
        </w:trPr>
        <w:tc>
          <w:tcPr>
            <w:tcW w:w="2268" w:type="dxa"/>
            <w:tcBorders>
              <w:top w:val="nil"/>
              <w:left w:val="nil"/>
              <w:bottom w:val="single" w:color="000000" w:sz="12" w:space="0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447F16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金融机构本外币各项贷款余额</w:t>
            </w:r>
          </w:p>
        </w:tc>
        <w:tc>
          <w:tcPr>
            <w:tcW w:w="1254" w:type="dxa"/>
            <w:tcBorders>
              <w:top w:val="nil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426469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亿元</w:t>
            </w:r>
          </w:p>
        </w:tc>
        <w:tc>
          <w:tcPr>
            <w:tcW w:w="1391" w:type="dxa"/>
            <w:tcBorders>
              <w:top w:val="nil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53F52C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175.84</w:t>
            </w:r>
          </w:p>
        </w:tc>
        <w:tc>
          <w:tcPr>
            <w:tcW w:w="1760" w:type="dxa"/>
            <w:tcBorders>
              <w:top w:val="nil"/>
              <w:left w:val="single" w:color="000000" w:sz="8" w:space="0"/>
              <w:bottom w:val="single" w:color="000000" w:sz="12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4FB9DB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180" w:afterAutospacing="0"/>
              <w:ind w:left="0" w:right="57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18.9</w:t>
            </w:r>
          </w:p>
        </w:tc>
      </w:tr>
    </w:tbl>
    <w:p w14:paraId="520394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572C0B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18CC81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供稿：李  日</w:t>
      </w:r>
    </w:p>
    <w:p w14:paraId="20AC0E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编辑：黄雨婷</w:t>
      </w:r>
    </w:p>
    <w:p w14:paraId="0EFF33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编审：李  日</w:t>
      </w:r>
    </w:p>
    <w:p w14:paraId="0D045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监制：唐炳玉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ab/>
      </w:r>
    </w:p>
    <w:p w14:paraId="3542C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 xml:space="preserve"> </w:t>
      </w:r>
    </w:p>
    <w:p w14:paraId="437BA83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900" w:afterAutospacing="0" w:line="24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  </w:t>
      </w:r>
    </w:p>
    <w:p w14:paraId="3ACC567F">
      <w:pPr>
        <w:pStyle w:val="4"/>
        <w:keepNext w:val="0"/>
        <w:keepLines w:val="0"/>
        <w:widowControl/>
        <w:suppressLineNumbers w:val="0"/>
        <w:spacing w:before="0" w:beforeAutospacing="0" w:after="900" w:afterAutospacing="0" w:line="240" w:lineRule="auto"/>
        <w:ind w:left="0" w:right="0"/>
        <w:jc w:val="center"/>
        <w:rPr>
          <w:rFonts w:hint="eastAsia" w:ascii="仿宋" w:hAnsi="仿宋" w:eastAsia="仿宋" w:cs="仿宋"/>
          <w:color w:val="auto"/>
          <w:sz w:val="32"/>
          <w:szCs w:val="32"/>
          <w:shd w:val="clear" w:fill="FFFFFF"/>
          <w:lang w:val="en-US" w:eastAsia="zh-CN"/>
        </w:rPr>
      </w:pPr>
    </w:p>
    <w:p w14:paraId="7C10AE44">
      <w:pPr>
        <w:pStyle w:val="4"/>
        <w:keepNext w:val="0"/>
        <w:keepLines w:val="0"/>
        <w:widowControl/>
        <w:suppressLineNumbers w:val="0"/>
        <w:spacing w:before="0" w:beforeAutospacing="0" w:after="900" w:afterAutospacing="0" w:line="240" w:lineRule="auto"/>
        <w:ind w:left="0" w:right="0"/>
        <w:jc w:val="center"/>
        <w:rPr>
          <w:rFonts w:hint="default" w:ascii="微软雅黑" w:hAnsi="微软雅黑" w:eastAsia="微软雅黑" w:cs="微软雅黑"/>
          <w:color w:val="auto"/>
          <w:sz w:val="21"/>
          <w:szCs w:val="21"/>
          <w:shd w:val="clear" w:fill="FFFFFF"/>
          <w:lang w:val="en-US" w:eastAsia="zh-CN"/>
        </w:rPr>
      </w:pPr>
    </w:p>
    <w:p w14:paraId="030AA121">
      <w:pPr>
        <w:rPr>
          <w:color w:val="auto"/>
        </w:rPr>
      </w:pPr>
    </w:p>
    <w:p w14:paraId="699055D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429AF5B-D978-4261-A74E-334C478ED259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D597AB5-9EE0-4F01-876E-D401991BC44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283ED81E-4C20-4D09-9787-75F6EB9150C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ZjRkMmVmMjA5MTcyNzEzZTUzMjIwZjI4OTQ4ZWMifQ=="/>
  </w:docVars>
  <w:rsids>
    <w:rsidRoot w:val="00000000"/>
    <w:rsid w:val="00D20CDA"/>
    <w:rsid w:val="136139CE"/>
    <w:rsid w:val="15431AC2"/>
    <w:rsid w:val="2B8C424C"/>
    <w:rsid w:val="31EA6EB8"/>
    <w:rsid w:val="36057500"/>
    <w:rsid w:val="3C6F6BC9"/>
    <w:rsid w:val="3EEA52EE"/>
    <w:rsid w:val="41D37B73"/>
    <w:rsid w:val="444D6DC6"/>
    <w:rsid w:val="49451DAB"/>
    <w:rsid w:val="4E4478D9"/>
    <w:rsid w:val="53260010"/>
    <w:rsid w:val="5CFB494D"/>
    <w:rsid w:val="70A20FE5"/>
    <w:rsid w:val="7A503F6C"/>
    <w:rsid w:val="AFB76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3">
    <w:name w:val="Body Text Indent"/>
    <w:basedOn w:val="1"/>
    <w:next w:val="2"/>
    <w:unhideWhenUsed/>
    <w:qFormat/>
    <w:uiPriority w:val="0"/>
    <w:pPr>
      <w:spacing w:after="120"/>
      <w:ind w:left="420" w:leftChars="200"/>
    </w:pPr>
    <w:rPr>
      <w:rFonts w:eastAsia="Times New Roman"/>
      <w:sz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unhideWhenUsed/>
    <w:qFormat/>
    <w:uiPriority w:val="0"/>
    <w:pPr>
      <w:tabs>
        <w:tab w:val="left" w:pos="600"/>
      </w:tabs>
      <w:spacing w:after="0"/>
      <w:ind w:left="0" w:leftChars="0"/>
    </w:pPr>
    <w:rPr>
      <w:sz w:val="2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323</Words>
  <Characters>410</Characters>
  <Lines>0</Lines>
  <Paragraphs>0</Paragraphs>
  <TotalTime>7</TotalTime>
  <ScaleCrop>false</ScaleCrop>
  <LinksUpToDate>false</LinksUpToDate>
  <CharactersWithSpaces>519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lenovo</dc:creator>
  <cp:lastModifiedBy>星婷恋雨</cp:lastModifiedBy>
  <cp:lastPrinted>2025-04-01T02:36:00Z</cp:lastPrinted>
  <dcterms:modified xsi:type="dcterms:W3CDTF">2025-04-01T06:45:03Z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9D2AC1CDA3EC4688BDA2E09BD93D7F73_13</vt:lpwstr>
  </property>
  <property fmtid="{D5CDD505-2E9C-101B-9397-08002B2CF9AE}" pid="4" name="KSOTemplateDocerSaveRecord">
    <vt:lpwstr>eyJoZGlkIjoiZTljYWZjNmNiYTQ0NDRjYTg0NDFjMTJkZTRhNzczNTgiLCJ1c2VySWQiOiIyNzMwNjY3NTQifQ==</vt:lpwstr>
  </property>
</Properties>
</file>