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lang w:eastAsia="zh-CN"/>
        </w:rPr>
        <w:t>大余县</w:t>
      </w:r>
      <w:r>
        <w:rPr>
          <w:rFonts w:hint="eastAsia" w:ascii="方正小标宋简体" w:hAnsi="方正小标宋简体" w:eastAsia="方正小标宋简体" w:cs="方正小标宋简体"/>
          <w:color w:val="auto"/>
          <w:sz w:val="44"/>
          <w:szCs w:val="44"/>
        </w:rPr>
        <w:t>202</w:t>
      </w:r>
      <w:r>
        <w:rPr>
          <w:rFonts w:hint="eastAsia" w:ascii="方正小标宋简体" w:hAnsi="方正小标宋简体" w:eastAsia="方正小标宋简体" w:cs="方正小标宋简体"/>
          <w:color w:val="auto"/>
          <w:sz w:val="44"/>
          <w:szCs w:val="44"/>
          <w:lang w:val="en-US" w:eastAsia="zh-CN"/>
        </w:rPr>
        <w:t>3</w:t>
      </w:r>
      <w:r>
        <w:rPr>
          <w:rFonts w:hint="eastAsia" w:ascii="方正小标宋简体" w:hAnsi="方正小标宋简体" w:eastAsia="方正小标宋简体" w:cs="方正小标宋简体"/>
          <w:color w:val="auto"/>
          <w:sz w:val="44"/>
          <w:szCs w:val="44"/>
        </w:rPr>
        <w:t>年革命老区转移支付资金使用情况和政策实施效果</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为弘扬革命老区优良传统，充分发挥革命老区转移支付资金的作用，按照上级财政部门有关规定，我县严把项目选择关，切实加强资金监管，不断提升资金使用效益。现将2023年革命老区转移支付资金使用情况及政策实施效果情况公开如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一、革命老区转移支付资金使用情况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（一）资金到位情况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2023年，我县共收到上级补助的革命老区转移支付资金</w:t>
      </w:r>
      <w:r>
        <w:rPr>
          <w:rFonts w:hint="eastAsia" w:ascii="仿宋_GB2312" w:hAnsi="仿宋_GB2312" w:eastAsia="仿宋_GB2312" w:cs="仿宋_GB2312"/>
          <w:bCs/>
          <w:color w:val="auto"/>
          <w:sz w:val="32"/>
          <w:szCs w:val="32"/>
        </w:rPr>
        <w:t>4774.95</w:t>
      </w:r>
      <w:r>
        <w:rPr>
          <w:rFonts w:hint="eastAsia" w:ascii="仿宋_GB2312" w:hAnsi="仿宋_GB2312" w:eastAsia="仿宋_GB2312" w:cs="仿宋_GB2312"/>
          <w:color w:val="auto"/>
          <w:sz w:val="32"/>
          <w:szCs w:val="32"/>
        </w:rPr>
        <w:t>万</w:t>
      </w:r>
      <w:r>
        <w:rPr>
          <w:rFonts w:hint="eastAsia" w:ascii="仿宋_GB2312" w:hAnsi="仿宋_GB2312" w:eastAsia="仿宋_GB2312" w:cs="仿宋_GB2312"/>
          <w:color w:val="auto"/>
          <w:sz w:val="32"/>
          <w:szCs w:val="32"/>
          <w:lang w:val="en-US" w:eastAsia="zh-CN"/>
        </w:rPr>
        <w:t>元，具体是：</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b w:val="0"/>
          <w:bCs w:val="0"/>
          <w:color w:val="auto"/>
          <w:kern w:val="0"/>
          <w:sz w:val="32"/>
          <w:szCs w:val="32"/>
          <w:lang w:val="en-US" w:eastAsia="zh-CN" w:bidi="ar"/>
        </w:rPr>
        <w:t>《提前下达2023年革命老区转移支付资金》(赣财预指</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color w:val="auto"/>
          <w:kern w:val="0"/>
          <w:sz w:val="32"/>
          <w:szCs w:val="32"/>
          <w:lang w:val="en-US" w:eastAsia="zh-CN" w:bidi="ar"/>
        </w:rPr>
        <w:t>2022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color w:val="auto"/>
          <w:kern w:val="0"/>
          <w:sz w:val="32"/>
          <w:szCs w:val="32"/>
          <w:lang w:val="en-US" w:eastAsia="zh-CN" w:bidi="ar"/>
        </w:rPr>
        <w:t>53号）</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color w:val="auto"/>
          <w:sz w:val="32"/>
          <w:szCs w:val="32"/>
          <w:lang w:val="en-US" w:eastAsia="zh-CN"/>
        </w:rPr>
        <w:t>到位资金3764万元；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b w:val="0"/>
          <w:bCs w:val="0"/>
          <w:color w:val="auto"/>
          <w:kern w:val="0"/>
          <w:sz w:val="32"/>
          <w:szCs w:val="32"/>
          <w:lang w:val="en-US" w:eastAsia="zh-CN" w:bidi="ar"/>
        </w:rPr>
        <w:t>《下达2023年革命老区转移支付资金》（赣财预指</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color w:val="auto"/>
          <w:kern w:val="0"/>
          <w:sz w:val="32"/>
          <w:szCs w:val="32"/>
          <w:lang w:val="en-US" w:eastAsia="zh-CN" w:bidi="ar"/>
        </w:rPr>
        <w:t>2023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color w:val="auto"/>
          <w:kern w:val="0"/>
          <w:sz w:val="32"/>
          <w:szCs w:val="32"/>
          <w:lang w:val="en-US" w:eastAsia="zh-CN" w:bidi="ar"/>
        </w:rPr>
        <w:t>31号</w:t>
      </w:r>
      <w:r>
        <w:rPr>
          <w:rFonts w:hint="eastAsia" w:ascii="仿宋_GB2312" w:hAnsi="仿宋_GB2312" w:eastAsia="仿宋_GB2312" w:cs="仿宋_GB2312"/>
          <w:color w:val="auto"/>
          <w:sz w:val="32"/>
          <w:szCs w:val="32"/>
          <w:lang w:val="en-US" w:eastAsia="zh-CN"/>
        </w:rPr>
        <w:t>），到位资金517万元；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b w:val="0"/>
          <w:bCs w:val="0"/>
          <w:color w:val="auto"/>
          <w:kern w:val="0"/>
          <w:sz w:val="32"/>
          <w:szCs w:val="32"/>
          <w:lang w:val="en-US" w:eastAsia="zh-CN" w:bidi="ar"/>
        </w:rPr>
      </w:pPr>
      <w:r>
        <w:rPr>
          <w:rFonts w:hint="eastAsia" w:ascii="仿宋_GB2312" w:hAnsi="仿宋_GB2312" w:eastAsia="仿宋_GB2312" w:cs="仿宋_GB2312"/>
          <w:color w:val="auto"/>
          <w:sz w:val="32"/>
          <w:szCs w:val="32"/>
          <w:lang w:val="en-US" w:eastAsia="zh-CN"/>
        </w:rPr>
        <w:t>3.《下达2023年赣南等原中央苏区补助资金》</w:t>
      </w:r>
      <w:r>
        <w:rPr>
          <w:rFonts w:hint="eastAsia" w:ascii="仿宋_GB2312" w:hAnsi="仿宋_GB2312" w:eastAsia="仿宋_GB2312" w:cs="仿宋_GB2312"/>
          <w:b w:val="0"/>
          <w:bCs w:val="0"/>
          <w:color w:val="auto"/>
          <w:kern w:val="0"/>
          <w:sz w:val="32"/>
          <w:szCs w:val="32"/>
          <w:lang w:val="en-US" w:eastAsia="zh-CN" w:bidi="ar"/>
        </w:rPr>
        <w:t>（赣市财预字</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color w:val="auto"/>
          <w:kern w:val="0"/>
          <w:sz w:val="32"/>
          <w:szCs w:val="32"/>
          <w:lang w:val="en-US" w:eastAsia="zh-CN" w:bidi="ar"/>
        </w:rPr>
        <w:t>2023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color w:val="auto"/>
          <w:kern w:val="0"/>
          <w:sz w:val="32"/>
          <w:szCs w:val="32"/>
          <w:lang w:val="en-US" w:eastAsia="zh-CN" w:bidi="ar"/>
        </w:rPr>
        <w:t>9号），到位资金</w:t>
      </w:r>
      <w:r>
        <w:rPr>
          <w:rFonts w:hint="eastAsia" w:ascii="仿宋_GB2312" w:hAnsi="仿宋_GB2312" w:eastAsia="仿宋_GB2312" w:cs="仿宋_GB2312"/>
          <w:color w:val="auto"/>
          <w:sz w:val="32"/>
          <w:szCs w:val="32"/>
          <w:lang w:val="en-US" w:eastAsia="zh-CN"/>
        </w:rPr>
        <w:t>422万元</w:t>
      </w:r>
      <w:r>
        <w:rPr>
          <w:rFonts w:hint="eastAsia" w:ascii="仿宋_GB2312" w:hAnsi="仿宋_GB2312" w:eastAsia="仿宋_GB2312" w:cs="仿宋_GB2312"/>
          <w:b w:val="0"/>
          <w:bCs w:val="0"/>
          <w:color w:val="auto"/>
          <w:kern w:val="0"/>
          <w:sz w:val="32"/>
          <w:szCs w:val="32"/>
          <w:lang w:val="en-US" w:eastAsia="zh-CN" w:bidi="ar"/>
        </w:rPr>
        <w:t>。</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default"/>
          <w:lang w:val="en-US" w:eastAsia="zh-CN"/>
        </w:rPr>
      </w:pPr>
      <w:r>
        <w:rPr>
          <w:rFonts w:hint="eastAsia" w:ascii="仿宋_GB2312" w:hAnsi="仿宋_GB2312" w:eastAsia="仿宋_GB2312" w:cs="仿宋_GB2312"/>
          <w:b w:val="0"/>
          <w:bCs w:val="0"/>
          <w:color w:val="auto"/>
          <w:kern w:val="0"/>
          <w:sz w:val="32"/>
          <w:szCs w:val="32"/>
          <w:lang w:val="en-US" w:eastAsia="zh-CN" w:bidi="ar"/>
        </w:rPr>
        <w:t>4.《下达2022-2023年度低质低效林改造资金》（赣市财资环字</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color w:val="auto"/>
          <w:kern w:val="0"/>
          <w:sz w:val="32"/>
          <w:szCs w:val="32"/>
          <w:lang w:val="en-US" w:eastAsia="zh-CN" w:bidi="ar"/>
        </w:rPr>
        <w:t>2023</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b w:val="0"/>
          <w:bCs w:val="0"/>
          <w:color w:val="auto"/>
          <w:kern w:val="0"/>
          <w:sz w:val="32"/>
          <w:szCs w:val="32"/>
          <w:lang w:val="en-US" w:eastAsia="zh-CN" w:bidi="ar"/>
        </w:rPr>
        <w:t>3号），到位资金71.95万元。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（二）资金分配情况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我县及时将革命老区转移支付资金进行了分配安排，资金用于28个项目，具体是：</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1.南安镇新珠村龙泉坑小组道路建设工程80万元；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2.樟斗镇横江村农贸市场建设100万元；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3.池江镇团结村岭孜上道路建设50万元；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4.浮江乡竹木村长燕现代农业产业示范基地基础设施建设项目228万元；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5.青龙镇元龙畲族村彭甫坑伞子岭至青年点排灌水渠浇筑工程125万元；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6.新城镇水西村产业基地基础设施工程232万元；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7.新城镇龙王庙村新时代文明实践站建设项目100万元；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8.南安镇东门小学校园校舍改造258万元；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9.河洞乡长岭会议旧址修复提升工程50万元；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10.左拔镇左拔村粮食生产基地基础设施建设项目80万元；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11.吉村镇中心镇区基础设施建设改造项目50万元；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12.樟斗镇集镇基础设施建设改造项目50万元；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13.河洞乡集镇基础设施建设改造项目50万元；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14.内良乡集镇基础设施建设改造项目50万元；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15.左拔镇集镇基础设施建设改造项目50万元；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16.S316大余铜锣湾至池江段公路改建工程（二期）1000万元；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17.大余县小水口至高坪(小水口-河洞圩-长岭)公路1100万元；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18.石牛水桥危桥重建工程233万元；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19.车里桥危桥重建工程300万元；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20.低质低效林改造71.95万元；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21.黄龙镇新农贸市场基础设施建设工程50万元；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22.内良乡圩镇（老街、寨下）升级改造项目70万元；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23.池江镇杨柳村茶亭子道路建设50万元；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24.池江镇兰溪村红色名村产业基地基础设施工程97万元；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25.南安镇新安村基础设施建设工程50万元；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26.南安镇新安村新村旁道路建设及堡坎工程50万元；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27.青龙镇平岗村产业基地基础设施建设项目50万元；</w:t>
      </w:r>
    </w:p>
    <w:p>
      <w:pPr>
        <w:pStyle w:val="2"/>
        <w:keepNext w:val="0"/>
        <w:keepLines w:val="0"/>
        <w:pageBreakBefore w:val="0"/>
        <w:widowControl w:val="0"/>
        <w:kinsoku/>
        <w:overflowPunct/>
        <w:topLinePunct w:val="0"/>
        <w:autoSpaceDE/>
        <w:autoSpaceDN/>
        <w:bidi w:val="0"/>
        <w:adjustRightInd/>
        <w:snapToGrid/>
        <w:spacing w:line="520" w:lineRule="exact"/>
        <w:jc w:val="both"/>
        <w:textAlignment w:val="auto"/>
        <w:rPr>
          <w:rFonts w:hint="eastAsia" w:ascii="仿宋_GB2312" w:eastAsia="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28.吉村镇民主村产业基地基础设施建设项目100万元；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二、革命老区转移支付资金管理情况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val="en-US" w:eastAsia="zh-CN"/>
        </w:rPr>
        <w:t>（一）念好“用”字诀，优化流程提时效。</w:t>
      </w:r>
      <w:r>
        <w:rPr>
          <w:rFonts w:hint="eastAsia" w:ascii="仿宋_GB2312" w:hAnsi="仿宋_GB2312" w:eastAsia="仿宋_GB2312" w:cs="仿宋_GB2312"/>
          <w:color w:val="auto"/>
          <w:sz w:val="32"/>
          <w:szCs w:val="32"/>
          <w:lang w:val="en-US" w:eastAsia="zh-CN"/>
        </w:rPr>
        <w:t>不断提高革命老区转移支付资金管理水平，优化资金拨付使用流程，确保专项资金使用过程公开透明，用活、用好、用实专项资金，提高资金使用时效性。</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val="en-US" w:eastAsia="zh-CN"/>
        </w:rPr>
        <w:t>（二）念好“评”字诀，紧盯项目促成效。</w:t>
      </w:r>
      <w:r>
        <w:rPr>
          <w:rFonts w:hint="eastAsia" w:ascii="仿宋_GB2312" w:hAnsi="仿宋_GB2312" w:eastAsia="仿宋_GB2312" w:cs="仿宋_GB2312"/>
          <w:color w:val="auto"/>
          <w:sz w:val="32"/>
          <w:szCs w:val="32"/>
          <w:lang w:val="en-US" w:eastAsia="zh-CN"/>
        </w:rPr>
        <w:t>每年对革命老区转移支付资金绩效目标组织评审论证，实施绩效运行监控，预防和纠正偏差，防止资金闲置浪费，确保项目资金得到充分利用，切实提高资金使用效率。</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sz w:val="32"/>
          <w:szCs w:val="32"/>
          <w:lang w:val="en-US" w:eastAsia="zh-CN"/>
        </w:rPr>
        <w:t>（三）念好“管”字诀，强化监督保实效。</w:t>
      </w:r>
      <w:r>
        <w:rPr>
          <w:rFonts w:hint="eastAsia" w:ascii="仿宋_GB2312" w:hAnsi="仿宋_GB2312" w:eastAsia="仿宋_GB2312" w:cs="仿宋_GB2312"/>
          <w:color w:val="auto"/>
          <w:sz w:val="32"/>
          <w:szCs w:val="32"/>
          <w:lang w:val="en-US" w:eastAsia="zh-CN"/>
        </w:rPr>
        <w:t>通过自查自纠和专项督查相结合的方式，有针对性地制定完善、管用、高效的管理制度，堵塞监管漏洞，规范操作流程，强化对项目专项资金全过程控制，规范项目前期设计与预算编制等单位的质量管理，推动工程项目建设资金使用规范有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三、革命老区转移支付资金取得的成效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一直以来，我县在革命老区转移支付项目点的选择上，做到精心组织，周密安排。着重考虑革命老区民生事务，如道路等农村基础设施建设，项目的实施使群众切身体会到党和国家对革命老区人民的关怀，着力改善了老区群众生产生活条件，促进了当地经济的发展。具体体现在以下方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1、实施农村道路基础设施建设，解决群众出门难问题，促进了农民增收。据偏远乡村群众反映，项目实施前的道路泥泞、狭窄，晴天出门一身灰，雨天出门一身泥，群众的生产生活极不方便，交通的不便利，直接制约了农村经济的发展。项目实施后，完成修建乡村道路7.67公里，受益群众达3万人。道路修建后，不仅路好走，还缩短了公路里程，节约了时间，当地群众种植的脐橙、蔬菜、等特色农产品可以顺畅地往外运输，降低了运输成本，提高了农产品单价，加快了当地农业产业化发展，增加了农民收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 w:eastAsia="仿宋_GB2312" w:cs="仿宋"/>
          <w:color w:val="auto"/>
          <w:sz w:val="32"/>
          <w:szCs w:val="32"/>
          <w:lang w:val="en-US" w:eastAsia="zh-CN"/>
        </w:rPr>
      </w:pPr>
      <w:r>
        <w:rPr>
          <w:rFonts w:hint="eastAsia" w:ascii="仿宋_GB2312" w:eastAsia="仿宋_GB2312"/>
          <w:sz w:val="32"/>
          <w:szCs w:val="32"/>
        </w:rPr>
        <w:t>2、完成低质低效林更替改造0.34万亩、补植补造0.33万亩，建成2个低质低效林改造示范基地，改造造林带动就业人数0.7万人，提升了森林火灾防控能力，生态环境得到明显改善。</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今后，我县将继续按照革命老区转移支付资金管理办法和上级财政资金管理要求，严格资金使用范围和资金拨付制度，提高资金使用效率。切实管好、用好革命老区转移支付资金，扎实推进项目建设进度，保质保量完成项目，有效突破老区经济发展瓶颈，促进革命老区社会事业和谐发展。</w:t>
      </w:r>
    </w:p>
    <w:p>
      <w:pPr>
        <w:pStyle w:val="2"/>
        <w:keepNext w:val="0"/>
        <w:keepLines w:val="0"/>
        <w:pageBreakBefore w:val="0"/>
        <w:widowControl w:val="0"/>
        <w:kinsoku/>
        <w:overflowPunct/>
        <w:topLinePunct w:val="0"/>
        <w:autoSpaceDE/>
        <w:autoSpaceDN/>
        <w:bidi w:val="0"/>
        <w:adjustRightInd/>
        <w:snapToGrid/>
        <w:spacing w:line="520" w:lineRule="exact"/>
        <w:ind w:left="0" w:leftChars="0" w:firstLine="0" w:firstLineChars="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overflowPunct/>
        <w:topLinePunct w:val="0"/>
        <w:autoSpaceDE/>
        <w:autoSpaceDN/>
        <w:bidi w:val="0"/>
        <w:adjustRightInd/>
        <w:snapToGrid/>
        <w:spacing w:line="520" w:lineRule="exact"/>
        <w:textAlignment w:val="auto"/>
        <w:rPr>
          <w:rFonts w:hint="default"/>
          <w:lang w:val="en-US" w:eastAsia="zh-CN"/>
        </w:rPr>
      </w:pPr>
      <w:bookmarkStart w:id="0" w:name="_GoBack"/>
      <w:bookmarkEnd w:id="0"/>
    </w:p>
    <w:sectPr>
      <w:footerReference r:id="rId3" w:type="default"/>
      <w:pgSz w:w="11906" w:h="16838"/>
      <w:pgMar w:top="1701" w:right="1417" w:bottom="1417" w:left="1474"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sz w:val="24"/>
                        <w:szCs w:val="24"/>
                      </w:rPr>
                    </w:pPr>
                    <w:r>
                      <w:rPr>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r>
                      <w:rPr>
                        <w:sz w:val="24"/>
                        <w:szCs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0MmI0NDcxMzFkN2MxMTU4ODM0OTQzNTM3YmM2YzQifQ=="/>
  </w:docVars>
  <w:rsids>
    <w:rsidRoot w:val="00172A27"/>
    <w:rsid w:val="059277D1"/>
    <w:rsid w:val="06726F57"/>
    <w:rsid w:val="0D8A30B9"/>
    <w:rsid w:val="0DC8627F"/>
    <w:rsid w:val="0FB31FC0"/>
    <w:rsid w:val="10861D96"/>
    <w:rsid w:val="124606A4"/>
    <w:rsid w:val="16135F23"/>
    <w:rsid w:val="168368B3"/>
    <w:rsid w:val="173718A3"/>
    <w:rsid w:val="17851690"/>
    <w:rsid w:val="198D5159"/>
    <w:rsid w:val="19AC4901"/>
    <w:rsid w:val="1EB468CC"/>
    <w:rsid w:val="207C2933"/>
    <w:rsid w:val="266A1BED"/>
    <w:rsid w:val="26D006AE"/>
    <w:rsid w:val="29D42743"/>
    <w:rsid w:val="2DF62136"/>
    <w:rsid w:val="2EAC358E"/>
    <w:rsid w:val="2F146A7E"/>
    <w:rsid w:val="32201AA2"/>
    <w:rsid w:val="344532C6"/>
    <w:rsid w:val="352E2ABB"/>
    <w:rsid w:val="38B65552"/>
    <w:rsid w:val="39D6476D"/>
    <w:rsid w:val="3EAE32D5"/>
    <w:rsid w:val="3FD66C67"/>
    <w:rsid w:val="478F2642"/>
    <w:rsid w:val="4FD244AE"/>
    <w:rsid w:val="50FE2865"/>
    <w:rsid w:val="551A0765"/>
    <w:rsid w:val="5561288C"/>
    <w:rsid w:val="58B01C2C"/>
    <w:rsid w:val="5C160939"/>
    <w:rsid w:val="5D60508F"/>
    <w:rsid w:val="5FAE7DAC"/>
    <w:rsid w:val="6461207E"/>
    <w:rsid w:val="6F7F6256"/>
    <w:rsid w:val="6F9B237B"/>
    <w:rsid w:val="6FE339BC"/>
    <w:rsid w:val="762E2F79"/>
    <w:rsid w:val="76E56D55"/>
    <w:rsid w:val="79024489"/>
    <w:rsid w:val="792D3056"/>
    <w:rsid w:val="79FD154C"/>
    <w:rsid w:val="7D9D2210"/>
    <w:rsid w:val="7E0820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Normal Indent1"/>
    <w:basedOn w:val="1"/>
    <w:next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8">
    <w:name w:val="正文文本1"/>
    <w:basedOn w:val="1"/>
    <w:qFormat/>
    <w:uiPriority w:val="0"/>
    <w:pPr>
      <w:widowControl w:val="0"/>
      <w:shd w:val="clear" w:color="auto" w:fill="auto"/>
      <w:spacing w:line="480" w:lineRule="auto"/>
      <w:ind w:firstLine="400"/>
    </w:pPr>
    <w:rPr>
      <w:rFonts w:ascii="宋体" w:hAnsi="宋体" w:eastAsia="宋体" w:cs="宋体"/>
      <w:sz w:val="26"/>
      <w:szCs w:val="26"/>
      <w:u w:val="none"/>
      <w:shd w:val="clear" w:color="auto" w:fil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3</Pages>
  <Words>1233</Words>
  <Characters>1313</Characters>
  <Lines>0</Lines>
  <Paragraphs>0</Paragraphs>
  <TotalTime>298</TotalTime>
  <ScaleCrop>false</ScaleCrop>
  <LinksUpToDate>false</LinksUpToDate>
  <CharactersWithSpaces>1313</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 description String</dc:creator>
  <cp:lastModifiedBy>王蓬</cp:lastModifiedBy>
  <cp:lastPrinted>2024-03-26T08:32:00Z</cp:lastPrinted>
  <dcterms:modified xsi:type="dcterms:W3CDTF">2024-04-01T06:42:15Z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85FBFC87DBF24841A3D5BF72EE8E470E</vt:lpwstr>
  </property>
</Properties>
</file>